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宋体" w:hAnsi="宋体" w:eastAsia="宋体" w:cs="宋体"/>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 xml:space="preserve">证券代码：000966          </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14:textFill>
            <w14:solidFill>
              <w14:schemeClr w14:val="tx1"/>
            </w14:solidFill>
          </w14:textFill>
        </w:rPr>
        <w:t xml:space="preserve">证券简称：长源电力           </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14:textFill>
            <w14:solidFill>
              <w14:schemeClr w14:val="tx1"/>
            </w14:solidFill>
          </w14:textFill>
        </w:rPr>
        <w:t>公告编号：</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2023-0</w:t>
      </w:r>
      <w:r>
        <w:rPr>
          <w:rFonts w:hint="eastAsia" w:cs="Times New Roman"/>
          <w:color w:val="000000" w:themeColor="text1"/>
          <w:sz w:val="24"/>
          <w:szCs w:val="24"/>
          <w:lang w:val="en-US" w:eastAsia="zh-CN"/>
          <w14:textFill>
            <w14:solidFill>
              <w14:schemeClr w14:val="tx1"/>
            </w14:solidFill>
          </w14:textFill>
        </w:rPr>
        <w:t>97</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方正小标宋简体" w:hAnsi="方正小标宋简体" w:eastAsia="方正小标宋简体" w:cs="方正小标宋简体"/>
          <w:b w:val="0"/>
          <w:bCs w:val="0"/>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方正小标宋简体" w:hAnsi="方正小标宋简体" w:eastAsia="方正小标宋简体" w:cs="方正小标宋简体"/>
          <w:b w:val="0"/>
          <w:bCs w:val="0"/>
          <w:color w:val="000000" w:themeColor="text1"/>
          <w:sz w:val="32"/>
          <w:szCs w:val="32"/>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z w:val="32"/>
          <w:szCs w:val="32"/>
          <w14:textFill>
            <w14:solidFill>
              <w14:schemeClr w14:val="tx1"/>
            </w14:solidFill>
          </w14:textFill>
        </w:rPr>
        <w:t>国家能源集团长源电力股份有限公司</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方正小标宋简体" w:hAnsi="方正小标宋简体" w:eastAsia="方正小标宋简体" w:cs="方正小标宋简体"/>
          <w:b w:val="0"/>
          <w:bCs w:val="0"/>
          <w:color w:val="000000" w:themeColor="text1"/>
          <w:sz w:val="32"/>
          <w:szCs w:val="32"/>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z w:val="32"/>
          <w:szCs w:val="32"/>
          <w14:textFill>
            <w14:solidFill>
              <w14:schemeClr w14:val="tx1"/>
            </w14:solidFill>
          </w14:textFill>
        </w:rPr>
        <w:t>2023年第三季度报告</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方正小标宋简体" w:hAnsi="方正小标宋简体" w:eastAsia="方正小标宋简体" w:cs="方正小标宋简体"/>
          <w:b w:val="0"/>
          <w:bCs w:val="0"/>
          <w:color w:val="000000" w:themeColor="text1"/>
          <w:sz w:val="32"/>
          <w:szCs w:val="32"/>
          <w14:textFill>
            <w14:solidFill>
              <w14:schemeClr w14:val="tx1"/>
            </w14:solidFill>
          </w14:textFill>
        </w:rPr>
      </w:pPr>
    </w:p>
    <w:p>
      <w:pPr>
        <w:pBdr>
          <w:top w:val="single" w:color="auto" w:sz="4" w:space="1"/>
          <w:left w:val="single" w:color="auto" w:sz="4" w:space="4"/>
          <w:bottom w:val="single" w:color="auto" w:sz="4" w:space="1"/>
          <w:right w:val="single" w:color="auto" w:sz="4" w:space="4"/>
        </w:pBdr>
        <w:spacing w:before="100" w:after="100" w:line="400" w:lineRule="exact"/>
        <w:ind w:firstLine="480" w:firstLineChars="200"/>
        <w:jc w:val="left"/>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本公司及董事会全体成员保证信息披露的内容真实、准确、完整，没有虚假记载、误导性陈述或重大遗漏。</w:t>
      </w:r>
    </w:p>
    <w:p>
      <w:pPr>
        <w:spacing w:before="40" w:after="40" w:line="420" w:lineRule="exact"/>
        <w:jc w:val="left"/>
        <w:rPr>
          <w:rFonts w:ascii="宋体" w:hAnsi="宋体" w:eastAsia="宋体" w:cs="宋体"/>
          <w:b/>
          <w:bCs/>
          <w:color w:val="000000" w:themeColor="text1"/>
          <w:sz w:val="24"/>
          <w:szCs w:val="24"/>
          <w14:textFill>
            <w14:solidFill>
              <w14:schemeClr w14:val="tx1"/>
            </w14:solidFill>
          </w14:textFill>
        </w:rPr>
      </w:pPr>
      <w:r>
        <w:rPr>
          <w:rFonts w:ascii="宋体" w:hAnsi="宋体" w:eastAsia="宋体" w:cs="宋体"/>
          <w:b/>
          <w:bCs/>
          <w:color w:val="000000" w:themeColor="text1"/>
          <w:sz w:val="24"/>
          <w:szCs w:val="24"/>
          <w14:textFill>
            <w14:solidFill>
              <w14:schemeClr w14:val="tx1"/>
            </w14:solidFill>
          </w14:textFill>
        </w:rPr>
        <w:t>重要内容提示：</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firstLine="480" w:firstLineChars="200"/>
        <w:jc w:val="left"/>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董事会、监事会及董事、监事、高级管理人员保证季度报告的真实、准确、完整，不存在虚假记载、误导性陈述或重大遗漏，并承担个别和连带的法律责任。</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0" w:leftChars="0" w:firstLine="480" w:firstLineChars="200"/>
        <w:jc w:val="left"/>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公司负责人、主管会计工作负责人及会计机构负责人(会计主管人员)声明：保证季度报告中财务信息的真实、准确、完整。</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0" w:leftChars="0" w:firstLine="480" w:firstLineChars="200"/>
        <w:jc w:val="left"/>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第三季度报告是否经过审计</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 xml:space="preserve">□是 </w:t>
      </w:r>
      <w:r>
        <w:rPr>
          <w:rFonts w:ascii="宋体" w:hAnsi="宋体" w:eastAsia="宋体" w:cs="宋体"/>
          <w:color w:val="000000" w:themeColor="text1"/>
          <w:sz w:val="24"/>
          <w:szCs w:val="24"/>
          <w14:textFill>
            <w14:solidFill>
              <w14:schemeClr w14:val="tx1"/>
            </w14:solidFill>
          </w14:textFill>
        </w:rPr>
        <w:sym w:font="Wingdings 2" w:char="F052"/>
      </w:r>
      <w:r>
        <w:rPr>
          <w:rFonts w:ascii="宋体" w:hAnsi="宋体" w:eastAsia="宋体" w:cs="宋体"/>
          <w:color w:val="000000" w:themeColor="text1"/>
          <w:sz w:val="24"/>
          <w:szCs w:val="24"/>
          <w14:textFill>
            <w14:solidFill>
              <w14:schemeClr w14:val="tx1"/>
            </w14:solidFill>
          </w14:textFill>
        </w:rPr>
        <w:t>否</w:t>
      </w:r>
    </w:p>
    <w:p>
      <w:pP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br w:type="page"/>
      </w:r>
    </w:p>
    <w:p>
      <w:pPr>
        <w:keepNext/>
        <w:keepLines/>
        <w:spacing w:before="300" w:after="300" w:line="320" w:lineRule="exact"/>
        <w:jc w:val="left"/>
        <w:outlineLvl w:val="0"/>
        <w:rPr>
          <w:rFonts w:ascii="宋体" w:hAnsi="宋体" w:eastAsia="宋体" w:cs="宋体"/>
          <w:b/>
          <w:bCs/>
          <w:color w:val="000000" w:themeColor="text1"/>
          <w:sz w:val="24"/>
          <w:szCs w:val="24"/>
          <w14:textFill>
            <w14:solidFill>
              <w14:schemeClr w14:val="tx1"/>
            </w14:solidFill>
          </w14:textFill>
        </w:rPr>
      </w:pPr>
      <w:bookmarkStart w:id="0" w:name="_Toc988889"/>
      <w:r>
        <w:rPr>
          <w:rFonts w:ascii="宋体" w:hAnsi="宋体" w:eastAsia="宋体" w:cs="宋体"/>
          <w:b/>
          <w:bCs/>
          <w:color w:val="000000" w:themeColor="text1"/>
          <w:sz w:val="24"/>
          <w:szCs w:val="24"/>
          <w14:textFill>
            <w14:solidFill>
              <w14:schemeClr w14:val="tx1"/>
            </w14:solidFill>
          </w14:textFill>
        </w:rPr>
        <w:t>一、主要财务数据</w:t>
      </w:r>
      <w:bookmarkEnd w:id="0"/>
    </w:p>
    <w:p>
      <w:pPr>
        <w:keepNext/>
        <w:keepLines/>
        <w:spacing w:before="300" w:after="300" w:line="280" w:lineRule="exact"/>
        <w:jc w:val="left"/>
        <w:outlineLvl w:val="1"/>
        <w:rPr>
          <w:rFonts w:ascii="宋体" w:hAnsi="宋体" w:eastAsia="宋体" w:cs="宋体"/>
          <w:b/>
          <w:bCs/>
          <w:color w:val="000000" w:themeColor="text1"/>
          <w:sz w:val="24"/>
          <w:szCs w:val="24"/>
          <w14:textFill>
            <w14:solidFill>
              <w14:schemeClr w14:val="tx1"/>
            </w14:solidFill>
          </w14:textFill>
        </w:rPr>
      </w:pPr>
      <w:bookmarkStart w:id="1" w:name="_Toc988890"/>
      <w:r>
        <w:rPr>
          <w:rFonts w:ascii="宋体" w:hAnsi="宋体" w:eastAsia="宋体" w:cs="宋体"/>
          <w:b/>
          <w:bCs/>
          <w:color w:val="000000" w:themeColor="text1"/>
          <w:sz w:val="24"/>
          <w:szCs w:val="24"/>
          <w14:textFill>
            <w14:solidFill>
              <w14:schemeClr w14:val="tx1"/>
            </w14:solidFill>
          </w14:textFill>
        </w:rPr>
        <w:t>（一） 主要会计数据和财务指标</w:t>
      </w:r>
      <w:bookmarkEnd w:id="1"/>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公司是否需追溯调整或重述以前年度会计数据</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sym w:font="Wingdings 2" w:char="F052"/>
      </w:r>
      <w:r>
        <w:rPr>
          <w:rFonts w:ascii="宋体" w:hAnsi="宋体" w:eastAsia="宋体" w:cs="宋体"/>
          <w:color w:val="000000" w:themeColor="text1"/>
          <w:sz w:val="24"/>
          <w:szCs w:val="24"/>
          <w14:textFill>
            <w14:solidFill>
              <w14:schemeClr w14:val="tx1"/>
            </w14:solidFill>
          </w14:textFill>
        </w:rPr>
        <w:t>是 □否</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追溯调整或重述原因</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会计政策变更</w:t>
      </w:r>
    </w:p>
    <w:tbl>
      <w:tblPr>
        <w:tblStyle w:val="3"/>
        <w:tblW w:w="9881" w:type="dxa"/>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13"/>
        <w:gridCol w:w="1071"/>
        <w:gridCol w:w="1071"/>
        <w:gridCol w:w="1071"/>
        <w:gridCol w:w="1071"/>
        <w:gridCol w:w="1071"/>
        <w:gridCol w:w="1071"/>
        <w:gridCol w:w="1071"/>
        <w:gridCol w:w="1071"/>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131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pPr>
              <w:rPr>
                <w:rFonts w:hint="default" w:ascii="Times New Roman" w:hAnsi="Times New Roman" w:cs="Times New Roman" w:eastAsiaTheme="minorEastAsia"/>
                <w:color w:val="000000" w:themeColor="text1"/>
                <w14:textFill>
                  <w14:solidFill>
                    <w14:schemeClr w14:val="tx1"/>
                  </w14:solidFill>
                </w14:textFill>
              </w:rPr>
            </w:pPr>
          </w:p>
        </w:tc>
        <w:tc>
          <w:tcPr>
            <w:tcW w:w="107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center"/>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本报告期</w:t>
            </w:r>
          </w:p>
        </w:tc>
        <w:tc>
          <w:tcPr>
            <w:tcW w:w="2142"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center"/>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上年同期</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center"/>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本报告期比上年同期增减</w:t>
            </w:r>
          </w:p>
        </w:tc>
        <w:tc>
          <w:tcPr>
            <w:tcW w:w="107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center"/>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年初至报告期末</w:t>
            </w:r>
          </w:p>
        </w:tc>
        <w:tc>
          <w:tcPr>
            <w:tcW w:w="2142"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center"/>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上年同期</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center"/>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年初至报告期末比上年同期增减</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131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pPr>
              <w:rPr>
                <w:rFonts w:hint="default" w:ascii="Times New Roman" w:hAnsi="Times New Roman" w:cs="Times New Roman" w:eastAsiaTheme="minorEastAsia"/>
                <w:color w:val="000000" w:themeColor="text1"/>
                <w14:textFill>
                  <w14:solidFill>
                    <w14:schemeClr w14:val="tx1"/>
                  </w14:solidFill>
                </w14:textFill>
              </w:rPr>
            </w:pPr>
          </w:p>
        </w:tc>
        <w:tc>
          <w:tcPr>
            <w:tcW w:w="107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pPr>
              <w:rPr>
                <w:rFonts w:hint="default" w:ascii="Times New Roman" w:hAnsi="Times New Roman" w:cs="Times New Roman" w:eastAsiaTheme="minorEastAsia"/>
                <w:color w:val="000000" w:themeColor="text1"/>
                <w14:textFill>
                  <w14:solidFill>
                    <w14:schemeClr w14:val="tx1"/>
                  </w14:solidFill>
                </w14:textFill>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center"/>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调整前</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center"/>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调整后</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center"/>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调整后</w:t>
            </w:r>
          </w:p>
        </w:tc>
        <w:tc>
          <w:tcPr>
            <w:tcW w:w="107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pPr>
              <w:rPr>
                <w:rFonts w:hint="default" w:ascii="Times New Roman" w:hAnsi="Times New Roman" w:cs="Times New Roman" w:eastAsiaTheme="minorEastAsia"/>
                <w:color w:val="000000" w:themeColor="text1"/>
                <w14:textFill>
                  <w14:solidFill>
                    <w14:schemeClr w14:val="tx1"/>
                  </w14:solidFill>
                </w14:textFill>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center"/>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调整前</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center"/>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调整后</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center"/>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调整后</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13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营业收</w:t>
            </w:r>
            <w:r>
              <w:rPr>
                <w:rFonts w:hint="eastAsia" w:cs="Times New Roman" w:eastAsiaTheme="minorEastAsia"/>
                <w:color w:val="000000" w:themeColor="text1"/>
                <w:sz w:val="18"/>
                <w:szCs w:val="18"/>
                <w:lang w:val="en-US" w:eastAsia="zh-CN"/>
                <w14:textFill>
                  <w14:solidFill>
                    <w14:schemeClr w14:val="tx1"/>
                  </w14:solidFill>
                </w14:textFill>
              </w:rPr>
              <w:t>入</w:t>
            </w:r>
            <w:r>
              <w:rPr>
                <w:rFonts w:hint="default" w:ascii="Times New Roman" w:hAnsi="Times New Roman" w:cs="Times New Roman" w:eastAsiaTheme="minorEastAsia"/>
                <w:color w:val="000000" w:themeColor="text1"/>
                <w:sz w:val="18"/>
                <w:szCs w:val="18"/>
                <w14:textFill>
                  <w14:solidFill>
                    <w14:schemeClr w14:val="tx1"/>
                  </w14:solidFill>
                </w14:textFill>
              </w:rPr>
              <w:t>（元）</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3,752,714,214.93</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4,580,564,992.96</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4,580,564,992.96</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-18.07%</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10,673,845,910.98</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10,973,391,404.45</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10,973,391,404.45</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-2.73%</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13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归属于上市公司股东的净利润（元）</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261,223,522.67</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162,405,226.18</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162,405,226.18</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60.85%</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642,106,384.21</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259,848,073.32</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259,848,073.32</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147.11%</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13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归属于上市公司股东的扣除非经常性损益的净利润（元）</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257,115,543.28</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160,679,957.69</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160,679,957.69</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60.02%</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629,722,295.77</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249,171,776.69</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249,171,776.69</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152.73%</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13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经营活动产生的现金流量净额（元）</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1,548,754,728.14</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935,809,833.90</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935,809,833.90</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65.50%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13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基本每股收益（元/股）</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0.0950</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0.0594</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0.0594</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59.93%</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0.2336</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0.0951</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0.0951</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145.64%</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13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稀释每股收益（元/股）</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0.0950</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0.0594</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0.0594</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59.93%</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0.2336</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0.0951</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0.0951</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145.64%</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13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加权平均净资产收益率</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2.57%</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1.70%</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1.70%</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0.87%</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6.45%</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2.72%</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2.72%</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3.73%</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131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pPr>
              <w:rPr>
                <w:rFonts w:hint="default" w:ascii="Times New Roman" w:hAnsi="Times New Roman" w:cs="Times New Roman" w:eastAsiaTheme="minorEastAsia"/>
                <w:color w:val="000000" w:themeColor="text1"/>
                <w14:textFill>
                  <w14:solidFill>
                    <w14:schemeClr w14:val="tx1"/>
                  </w14:solidFill>
                </w14:textFill>
              </w:rPr>
            </w:pPr>
          </w:p>
        </w:tc>
        <w:tc>
          <w:tcPr>
            <w:tcW w:w="2142" w:type="dxa"/>
            <w:gridSpan w:val="2"/>
            <w:vMerge w:val="restart"/>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center"/>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本报告期末</w:t>
            </w:r>
          </w:p>
        </w:tc>
        <w:tc>
          <w:tcPr>
            <w:tcW w:w="4284"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center"/>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上年度末</w:t>
            </w:r>
          </w:p>
        </w:tc>
        <w:tc>
          <w:tcPr>
            <w:tcW w:w="2142"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center"/>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本报告期末比上年度末增减</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131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pPr>
              <w:rPr>
                <w:rFonts w:hint="default" w:ascii="Times New Roman" w:hAnsi="Times New Roman" w:cs="Times New Roman" w:eastAsiaTheme="minorEastAsia"/>
                <w:color w:val="000000" w:themeColor="text1"/>
                <w14:textFill>
                  <w14:solidFill>
                    <w14:schemeClr w14:val="tx1"/>
                  </w14:solidFill>
                </w14:textFill>
              </w:rPr>
            </w:pPr>
          </w:p>
        </w:tc>
        <w:tc>
          <w:tcPr>
            <w:tcW w:w="2142" w:type="dxa"/>
            <w:gridSpan w:val="2"/>
            <w:vMerge w:val="continue"/>
            <w:tcBorders>
              <w:top w:val="single" w:color="auto" w:sz="2" w:space="0"/>
              <w:left w:val="single" w:color="auto" w:sz="2" w:space="0"/>
              <w:bottom w:val="single" w:color="auto" w:sz="2" w:space="0"/>
              <w:right w:val="single" w:color="auto" w:sz="2" w:space="0"/>
            </w:tcBorders>
            <w:shd w:val="clear" w:color="auto" w:fill="D3D3D3"/>
            <w:vAlign w:val="center"/>
          </w:tcPr>
          <w:p>
            <w:pPr>
              <w:rPr>
                <w:rFonts w:hint="default" w:ascii="Times New Roman" w:hAnsi="Times New Roman" w:cs="Times New Roman" w:eastAsiaTheme="minorEastAsia"/>
                <w:color w:val="000000" w:themeColor="text1"/>
                <w14:textFill>
                  <w14:solidFill>
                    <w14:schemeClr w14:val="tx1"/>
                  </w14:solidFill>
                </w14:textFill>
              </w:rPr>
            </w:pPr>
          </w:p>
        </w:tc>
        <w:tc>
          <w:tcPr>
            <w:tcW w:w="2142"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center"/>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调整前</w:t>
            </w:r>
          </w:p>
        </w:tc>
        <w:tc>
          <w:tcPr>
            <w:tcW w:w="2142"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center"/>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调整后</w:t>
            </w:r>
          </w:p>
        </w:tc>
        <w:tc>
          <w:tcPr>
            <w:tcW w:w="2142"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center"/>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调整后</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13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总资产（元）</w:t>
            </w:r>
          </w:p>
        </w:tc>
        <w:tc>
          <w:tcPr>
            <w:tcW w:w="2142"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35,109,025,777.70</w:t>
            </w:r>
          </w:p>
        </w:tc>
        <w:tc>
          <w:tcPr>
            <w:tcW w:w="2142"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30,834,062,684.52</w:t>
            </w:r>
          </w:p>
        </w:tc>
        <w:tc>
          <w:tcPr>
            <w:tcW w:w="2142"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30,834,187,767.08</w:t>
            </w:r>
          </w:p>
        </w:tc>
        <w:tc>
          <w:tcPr>
            <w:tcW w:w="2142"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13.86%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13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归属于上市公司股东的所有者权益（元）</w:t>
            </w:r>
          </w:p>
        </w:tc>
        <w:tc>
          <w:tcPr>
            <w:tcW w:w="2142"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10,301,835,521.13</w:t>
            </w:r>
          </w:p>
        </w:tc>
        <w:tc>
          <w:tcPr>
            <w:tcW w:w="2142"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9,594,531,129.13</w:t>
            </w:r>
          </w:p>
        </w:tc>
        <w:tc>
          <w:tcPr>
            <w:tcW w:w="2142"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9,594,656,211.69</w:t>
            </w:r>
          </w:p>
        </w:tc>
        <w:tc>
          <w:tcPr>
            <w:tcW w:w="2142"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7.37%</w:t>
            </w:r>
          </w:p>
        </w:tc>
      </w:tr>
    </w:tbl>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会计政策变更的原因及会计差错更正的情况</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财政部于2022年11月30日公布了《企业会计准则解释第16号》（财会〔2022〕31号，以下简称</w:t>
      </w:r>
      <w:r>
        <w:rPr>
          <w:rFonts w:hint="eastAsia" w:asciiTheme="majorEastAsia" w:hAnsiTheme="majorEastAsia" w:eastAsiaTheme="majorEastAsia" w:cstheme="majorEastAsia"/>
          <w:color w:val="000000" w:themeColor="text1"/>
          <w:sz w:val="24"/>
          <w:szCs w:val="24"/>
          <w:lang w:eastAsia="zh-CN"/>
          <w14:textFill>
            <w14:solidFill>
              <w14:schemeClr w14:val="tx1"/>
            </w14:solidFill>
          </w14:textFill>
        </w:rPr>
        <w:t>《</w:t>
      </w:r>
      <w:r>
        <w:rPr>
          <w:rFonts w:hint="eastAsia" w:asciiTheme="majorEastAsia" w:hAnsiTheme="majorEastAsia" w:eastAsiaTheme="majorEastAsia" w:cstheme="majorEastAsia"/>
          <w:color w:val="000000" w:themeColor="text1"/>
          <w:sz w:val="24"/>
          <w:szCs w:val="24"/>
          <w14:textFill>
            <w14:solidFill>
              <w14:schemeClr w14:val="tx1"/>
            </w14:solidFill>
          </w14:textFill>
        </w:rPr>
        <w:t>解</w:t>
      </w:r>
      <w:r>
        <w:rPr>
          <w:rFonts w:hint="default" w:ascii="Times New Roman" w:hAnsi="Times New Roman" w:eastAsia="宋体" w:cs="Times New Roman"/>
          <w:color w:val="000000" w:themeColor="text1"/>
          <w:sz w:val="24"/>
          <w:szCs w:val="24"/>
          <w14:textFill>
            <w14:solidFill>
              <w14:schemeClr w14:val="tx1"/>
            </w14:solidFill>
          </w14:textFill>
        </w:rPr>
        <w:t>释第16号</w:t>
      </w:r>
      <w:r>
        <w:rPr>
          <w:rFonts w:hint="eastAsia" w:asciiTheme="majorEastAsia" w:hAnsiTheme="majorEastAsia" w:eastAsiaTheme="majorEastAsia" w:cstheme="majorEastAsia"/>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eastAsia" w:asciiTheme="majorEastAsia" w:hAnsiTheme="majorEastAsia" w:eastAsiaTheme="majorEastAsia" w:cstheme="majorEastAsia"/>
          <w:color w:val="000000" w:themeColor="text1"/>
          <w:sz w:val="24"/>
          <w:szCs w:val="24"/>
          <w14:textFill>
            <w14:solidFill>
              <w14:schemeClr w14:val="tx1"/>
            </w14:solidFill>
          </w14:textFill>
        </w:rPr>
        <w:t>其中“关</w:t>
      </w:r>
      <w:r>
        <w:rPr>
          <w:rFonts w:hint="default" w:ascii="Times New Roman" w:hAnsi="Times New Roman" w:eastAsia="宋体" w:cs="Times New Roman"/>
          <w:color w:val="000000" w:themeColor="text1"/>
          <w:sz w:val="24"/>
          <w:szCs w:val="24"/>
          <w14:textFill>
            <w14:solidFill>
              <w14:schemeClr w14:val="tx1"/>
            </w14:solidFill>
          </w14:textFill>
        </w:rPr>
        <w:t>于单项交易产生的资产和负债相关的递延所得税不适用初始确认豁免的会计处</w:t>
      </w:r>
      <w:r>
        <w:rPr>
          <w:rFonts w:hint="eastAsia" w:asciiTheme="majorEastAsia" w:hAnsiTheme="majorEastAsia" w:eastAsiaTheme="majorEastAsia" w:cstheme="majorEastAsia"/>
          <w:color w:val="000000" w:themeColor="text1"/>
          <w:sz w:val="24"/>
          <w:szCs w:val="24"/>
          <w14:textFill>
            <w14:solidFill>
              <w14:schemeClr w14:val="tx1"/>
            </w14:solidFill>
          </w14:textFill>
        </w:rPr>
        <w:t>理”的</w:t>
      </w:r>
      <w:r>
        <w:rPr>
          <w:rFonts w:hint="default" w:ascii="Times New Roman" w:hAnsi="Times New Roman" w:eastAsia="宋体" w:cs="Times New Roman"/>
          <w:color w:val="000000" w:themeColor="text1"/>
          <w:sz w:val="24"/>
          <w:szCs w:val="24"/>
          <w14:textFill>
            <w14:solidFill>
              <w14:schemeClr w14:val="tx1"/>
            </w14:solidFill>
          </w14:textFill>
        </w:rPr>
        <w:t>规定自2023年1月1日起施行。</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eastAsia" w:asciiTheme="majorEastAsia" w:hAnsiTheme="majorEastAsia" w:eastAsiaTheme="majorEastAsia" w:cstheme="majorEastAsia"/>
          <w:color w:val="000000" w:themeColor="text1"/>
          <w:sz w:val="24"/>
          <w:szCs w:val="24"/>
          <w:lang w:eastAsia="zh-CN"/>
          <w14:textFill>
            <w14:solidFill>
              <w14:schemeClr w14:val="tx1"/>
            </w14:solidFill>
          </w14:textFill>
        </w:rPr>
        <w:t>《</w:t>
      </w:r>
      <w:r>
        <w:rPr>
          <w:rFonts w:hint="eastAsia" w:asciiTheme="majorEastAsia" w:hAnsiTheme="majorEastAsia" w:eastAsiaTheme="majorEastAsia" w:cstheme="majorEastAsia"/>
          <w:color w:val="000000" w:themeColor="text1"/>
          <w:sz w:val="24"/>
          <w:szCs w:val="24"/>
          <w14:textFill>
            <w14:solidFill>
              <w14:schemeClr w14:val="tx1"/>
            </w14:solidFill>
          </w14:textFill>
        </w:rPr>
        <w:t>解</w:t>
      </w:r>
      <w:r>
        <w:rPr>
          <w:rFonts w:hint="default" w:ascii="Times New Roman" w:hAnsi="Times New Roman" w:eastAsia="宋体" w:cs="Times New Roman"/>
          <w:color w:val="000000" w:themeColor="text1"/>
          <w:sz w:val="24"/>
          <w:szCs w:val="24"/>
          <w14:textFill>
            <w14:solidFill>
              <w14:schemeClr w14:val="tx1"/>
            </w14:solidFill>
          </w14:textFill>
        </w:rPr>
        <w:t>释第16号</w:t>
      </w:r>
      <w:r>
        <w:rPr>
          <w:rFonts w:hint="eastAsia" w:asciiTheme="majorEastAsia" w:hAnsiTheme="majorEastAsia" w:eastAsiaTheme="majorEastAsia" w:cstheme="majorEastAsia"/>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规定，对于不是企业合并、交易发生时既不影响会计利润也不影响应纳税所得额（或可抵扣亏损）、且初始确认的资产和负债导致产生等额应纳税暂时性差异和可抵扣暂时性差异的单项交易（包括承租人在租赁期开始日初始确认租赁负债并计入使用权资产的租赁交易，以及因固定资产等存在弃置义务而确认预计负债并计入相关资产成本的交易等单项交易），不适用豁免初始确认递延所得税负债和递延所得税资产的规定，企业在交易发生时应当根据《企业会计准则第18号——所得税》等有关规定，分别确认相应的递延所得税负债和递延所得税资产。</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对于在首次施行该规定的财务报表列报最早期间的期初至施行日之间发生的适用该规定的单项交易，以及财务报表列报最早期间的期初因适用该规定的单项交易而确认的租赁负债和使用权资产，以及确认的弃置义务相关预计负债和对应的相关资产，产生应纳税暂时性差异和可抵扣暂时性差异的，企业应当按照该规定进行调整，本公司自2023年1月1日起执行该规定。</w:t>
      </w:r>
    </w:p>
    <w:p>
      <w:pPr>
        <w:keepNext/>
        <w:keepLines/>
        <w:spacing w:before="300" w:after="300" w:line="280" w:lineRule="exact"/>
        <w:jc w:val="left"/>
        <w:outlineLvl w:val="1"/>
        <w:rPr>
          <w:rFonts w:ascii="宋体" w:hAnsi="宋体" w:eastAsia="宋体" w:cs="宋体"/>
          <w:b/>
          <w:bCs/>
          <w:color w:val="000000" w:themeColor="text1"/>
          <w:sz w:val="24"/>
          <w:szCs w:val="24"/>
          <w14:textFill>
            <w14:solidFill>
              <w14:schemeClr w14:val="tx1"/>
            </w14:solidFill>
          </w14:textFill>
        </w:rPr>
      </w:pPr>
      <w:bookmarkStart w:id="2" w:name="_Toc988891"/>
      <w:r>
        <w:rPr>
          <w:rFonts w:ascii="宋体" w:hAnsi="宋体" w:eastAsia="宋体" w:cs="宋体"/>
          <w:b/>
          <w:bCs/>
          <w:color w:val="000000" w:themeColor="text1"/>
          <w:sz w:val="24"/>
          <w:szCs w:val="24"/>
          <w14:textFill>
            <w14:solidFill>
              <w14:schemeClr w14:val="tx1"/>
            </w14:solidFill>
          </w14:textFill>
        </w:rPr>
        <w:t>（二） 非经常性损益项目和金额</w:t>
      </w:r>
      <w:bookmarkEnd w:id="2"/>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sym w:font="Wingdings 2" w:char="0052"/>
      </w:r>
      <w:r>
        <w:rPr>
          <w:rFonts w:hint="eastAsia" w:ascii="Times New Roman" w:hAnsi="Times New Roman" w:eastAsia="宋体" w:cs="Times New Roman"/>
          <w:color w:val="000000" w:themeColor="text1"/>
          <w:sz w:val="24"/>
          <w:szCs w:val="24"/>
          <w14:textFill>
            <w14:solidFill>
              <w14:schemeClr w14:val="tx1"/>
            </w14:solidFill>
          </w14:textFill>
        </w:rPr>
        <w:t>适用 □不适用</w:t>
      </w:r>
    </w:p>
    <w:p>
      <w:pPr>
        <w:spacing w:before="0" w:after="0" w:line="240" w:lineRule="exact"/>
        <w:jc w:val="right"/>
        <w:rPr>
          <w:rFonts w:ascii="宋体" w:hAnsi="宋体" w:eastAsia="宋体" w:cs="宋体"/>
          <w:color w:val="000000" w:themeColor="text1"/>
          <w:sz w:val="18"/>
          <w:szCs w:val="18"/>
          <w14:textFill>
            <w14:solidFill>
              <w14:schemeClr w14:val="tx1"/>
            </w14:solidFill>
          </w14:textFill>
        </w:rPr>
      </w:pPr>
      <w:r>
        <w:rPr>
          <w:rFonts w:ascii="宋体" w:hAnsi="宋体" w:eastAsia="宋体" w:cs="宋体"/>
          <w:color w:val="000000" w:themeColor="text1"/>
          <w:sz w:val="18"/>
          <w:szCs w:val="18"/>
          <w14:textFill>
            <w14:solidFill>
              <w14:schemeClr w14:val="tx1"/>
            </w14:solidFill>
          </w14:textFill>
        </w:rPr>
        <w:t>单位：元</w:t>
      </w:r>
    </w:p>
    <w:tbl>
      <w:tblPr>
        <w:tblStyle w:val="3"/>
        <w:tblW w:w="9639" w:type="dxa"/>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center"/>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项目</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center"/>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本报告期金额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center"/>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年初至报告期期末金额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center"/>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说明</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left"/>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非流动资产处置损益（包括已计提资产减值准备的冲销部分）</w:t>
            </w:r>
          </w:p>
        </w:tc>
        <w:tc>
          <w:tcPr>
            <w:tcW w:w="2410"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-407,602.27</w:t>
            </w:r>
          </w:p>
        </w:tc>
        <w:tc>
          <w:tcPr>
            <w:tcW w:w="2410"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-185,096.87</w:t>
            </w:r>
          </w:p>
        </w:tc>
        <w:tc>
          <w:tcPr>
            <w:tcW w:w="2410"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left"/>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计入当期损益的政府补助（与公司正常经营业务密切相关，符合国家政策规定、按照一定标准定额或定量持续享受的政府补助除外）</w:t>
            </w:r>
          </w:p>
        </w:tc>
        <w:tc>
          <w:tcPr>
            <w:tcW w:w="2410"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2,596,198.35</w:t>
            </w:r>
          </w:p>
        </w:tc>
        <w:tc>
          <w:tcPr>
            <w:tcW w:w="2410"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6,326,407.66</w:t>
            </w:r>
          </w:p>
        </w:tc>
        <w:tc>
          <w:tcPr>
            <w:tcW w:w="2410"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left"/>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除上述各项之外的其他营业外收入和支出</w:t>
            </w:r>
          </w:p>
        </w:tc>
        <w:tc>
          <w:tcPr>
            <w:tcW w:w="2410"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3,166,793.17</w:t>
            </w:r>
          </w:p>
        </w:tc>
        <w:tc>
          <w:tcPr>
            <w:tcW w:w="2410"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8,908,636.81</w:t>
            </w:r>
          </w:p>
        </w:tc>
        <w:tc>
          <w:tcPr>
            <w:tcW w:w="2410"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left"/>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其他符合非经常性损益定义的损益项目</w:t>
            </w:r>
          </w:p>
        </w:tc>
        <w:tc>
          <w:tcPr>
            <w:tcW w:w="2410"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18,101.52</w:t>
            </w:r>
          </w:p>
        </w:tc>
        <w:tc>
          <w:tcPr>
            <w:tcW w:w="2410"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437,154.05</w:t>
            </w:r>
          </w:p>
        </w:tc>
        <w:tc>
          <w:tcPr>
            <w:tcW w:w="2410"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left"/>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减：所得税影响额</w:t>
            </w:r>
          </w:p>
        </w:tc>
        <w:tc>
          <w:tcPr>
            <w:tcW w:w="2410"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1,164,077.00</w:t>
            </w:r>
          </w:p>
        </w:tc>
        <w:tc>
          <w:tcPr>
            <w:tcW w:w="2410"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2,898,179.64</w:t>
            </w:r>
          </w:p>
        </w:tc>
        <w:tc>
          <w:tcPr>
            <w:tcW w:w="2410"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360" w:firstLineChars="200"/>
              <w:jc w:val="left"/>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少数股东权益影响额（税后）</w:t>
            </w:r>
          </w:p>
        </w:tc>
        <w:tc>
          <w:tcPr>
            <w:tcW w:w="2410"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101,434.38</w:t>
            </w:r>
          </w:p>
        </w:tc>
        <w:tc>
          <w:tcPr>
            <w:tcW w:w="2410"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204,833.57</w:t>
            </w:r>
          </w:p>
        </w:tc>
        <w:tc>
          <w:tcPr>
            <w:tcW w:w="2410"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left"/>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合计</w:t>
            </w:r>
          </w:p>
        </w:tc>
        <w:tc>
          <w:tcPr>
            <w:tcW w:w="2410"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4,107,979.39</w:t>
            </w:r>
          </w:p>
        </w:tc>
        <w:tc>
          <w:tcPr>
            <w:tcW w:w="2410"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12,384,088.44</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w:t>
            </w:r>
          </w:p>
        </w:tc>
      </w:tr>
    </w:tbl>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其他符合非经常性损益定义的损益项目的具体情况：</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 xml:space="preserve">□适用 </w:t>
      </w:r>
      <w:r>
        <w:rPr>
          <w:rFonts w:hint="eastAsia" w:ascii="Times New Roman" w:hAnsi="Times New Roman" w:eastAsia="宋体" w:cs="Times New Roman"/>
          <w:color w:val="000000" w:themeColor="text1"/>
          <w:sz w:val="24"/>
          <w:szCs w:val="24"/>
          <w14:textFill>
            <w14:solidFill>
              <w14:schemeClr w14:val="tx1"/>
            </w14:solidFill>
          </w14:textFill>
        </w:rPr>
        <w:sym w:font="Wingdings 2" w:char="F052"/>
      </w:r>
      <w:r>
        <w:rPr>
          <w:rFonts w:hint="eastAsia" w:ascii="Times New Roman" w:hAnsi="Times New Roman" w:eastAsia="宋体" w:cs="Times New Roman"/>
          <w:color w:val="000000" w:themeColor="text1"/>
          <w:sz w:val="24"/>
          <w:szCs w:val="24"/>
          <w14:textFill>
            <w14:solidFill>
              <w14:schemeClr w14:val="tx1"/>
            </w14:solidFill>
          </w14:textFill>
        </w:rPr>
        <w:t>不适用</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公司不存在其他符合非经常性损益定义的损益项目的具体情况。</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将《公开发行证券的公司信息披露解释性公告第1号——非经常性损益》中列举的非经常性损益项目界定为经常性损益项目的情况说明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 xml:space="preserve">□适用 </w:t>
      </w:r>
      <w:r>
        <w:rPr>
          <w:rFonts w:hint="eastAsia" w:ascii="Times New Roman" w:hAnsi="Times New Roman" w:eastAsia="宋体" w:cs="Times New Roman"/>
          <w:color w:val="000000" w:themeColor="text1"/>
          <w:sz w:val="24"/>
          <w:szCs w:val="24"/>
          <w14:textFill>
            <w14:solidFill>
              <w14:schemeClr w14:val="tx1"/>
            </w14:solidFill>
          </w14:textFill>
        </w:rPr>
        <w:sym w:font="Wingdings 2" w:char="F052"/>
      </w:r>
      <w:r>
        <w:rPr>
          <w:rFonts w:hint="eastAsia" w:ascii="Times New Roman" w:hAnsi="Times New Roman" w:eastAsia="宋体" w:cs="Times New Roman"/>
          <w:color w:val="000000" w:themeColor="text1"/>
          <w:sz w:val="24"/>
          <w:szCs w:val="24"/>
          <w14:textFill>
            <w14:solidFill>
              <w14:schemeClr w14:val="tx1"/>
            </w14:solidFill>
          </w14:textFill>
        </w:rPr>
        <w:t>不适用</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公司不存在将《公开发行证券的公司信息披露解释性公告第1号——非经常性损益》中列举的非经常性损益项目界定为经常性损益的项目的情形。</w:t>
      </w:r>
    </w:p>
    <w:p>
      <w:pPr>
        <w:keepNext/>
        <w:keepLines/>
        <w:spacing w:before="300" w:after="300" w:line="280" w:lineRule="exact"/>
        <w:jc w:val="left"/>
        <w:outlineLvl w:val="1"/>
        <w:rPr>
          <w:rFonts w:hint="eastAsia" w:asciiTheme="minorEastAsia" w:hAnsiTheme="minorEastAsia" w:eastAsiaTheme="minorEastAsia" w:cstheme="minorEastAsia"/>
          <w:b/>
          <w:bCs/>
          <w:color w:val="000000" w:themeColor="text1"/>
          <w:sz w:val="24"/>
          <w:szCs w:val="24"/>
          <w14:textFill>
            <w14:solidFill>
              <w14:schemeClr w14:val="tx1"/>
            </w14:solidFill>
          </w14:textFill>
        </w:rPr>
      </w:pPr>
      <w:bookmarkStart w:id="3" w:name="_Toc988892"/>
      <w:r>
        <w:rPr>
          <w:rFonts w:hint="eastAsia" w:asciiTheme="minorEastAsia" w:hAnsiTheme="minorEastAsia" w:eastAsiaTheme="minorEastAsia" w:cstheme="minorEastAsia"/>
          <w:b/>
          <w:bCs/>
          <w:color w:val="000000" w:themeColor="text1"/>
          <w:sz w:val="24"/>
          <w:szCs w:val="24"/>
          <w14:textFill>
            <w14:solidFill>
              <w14:schemeClr w14:val="tx1"/>
            </w14:solidFill>
          </w14:textFill>
        </w:rPr>
        <w:t>（三） 主要会计数据和财务指标发生变动的情况及原因</w:t>
      </w:r>
      <w:bookmarkEnd w:id="3"/>
    </w:p>
    <w:p>
      <w:pPr>
        <w:keepNext w:val="0"/>
        <w:keepLines w:val="0"/>
        <w:pageBreakBefore w:val="0"/>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sym w:font="Wingdings 2" w:char="F052"/>
      </w:r>
      <w:r>
        <w:rPr>
          <w:rFonts w:hint="eastAsia" w:ascii="宋体" w:hAnsi="宋体" w:eastAsia="宋体" w:cs="宋体"/>
          <w:color w:val="000000" w:themeColor="text1"/>
          <w:sz w:val="24"/>
          <w:szCs w:val="24"/>
          <w14:textFill>
            <w14:solidFill>
              <w14:schemeClr w14:val="tx1"/>
            </w14:solidFill>
          </w14:textFill>
        </w:rPr>
        <w:t>适用 □不适用</w:t>
      </w:r>
    </w:p>
    <w:p>
      <w:pPr>
        <w:pStyle w:val="2"/>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400" w:lineRule="exact"/>
        <w:ind w:left="0" w:right="0" w:firstLine="482"/>
        <w:jc w:val="left"/>
        <w:textAlignment w:val="auto"/>
        <w:rPr>
          <w:rFonts w:hint="default" w:ascii="Times New Roman" w:hAnsi="Times New Roman" w:eastAsia="宋体" w:cs="Times New Roman"/>
          <w:b/>
          <w:bCs/>
          <w:color w:val="000000" w:themeColor="text1"/>
          <w:kern w:val="0"/>
          <w:sz w:val="24"/>
          <w:szCs w:val="24"/>
          <w14:textFill>
            <w14:solidFill>
              <w14:schemeClr w14:val="tx1"/>
            </w14:solidFill>
          </w14:textFill>
        </w:rPr>
      </w:pPr>
      <w:r>
        <w:rPr>
          <w:rFonts w:hint="eastAsia" w:ascii="Times New Roman" w:hAnsi="Times New Roman" w:eastAsia="宋体" w:cs="Times New Roman"/>
          <w:b/>
          <w:bCs/>
          <w:color w:val="000000" w:themeColor="text1"/>
          <w:kern w:val="0"/>
          <w:sz w:val="24"/>
          <w:szCs w:val="24"/>
          <w14:textFill>
            <w14:solidFill>
              <w14:schemeClr w14:val="tx1"/>
            </w14:solidFill>
          </w14:textFill>
        </w:rPr>
        <w:t>资产负债表项目</w:t>
      </w:r>
      <w:r>
        <w:rPr>
          <w:rFonts w:hint="default" w:ascii="Times New Roman" w:hAnsi="Times New Roman" w:eastAsia="宋体" w:cs="Times New Roman"/>
          <w:b/>
          <w:bCs/>
          <w:color w:val="000000" w:themeColor="text1"/>
          <w:kern w:val="0"/>
          <w:sz w:val="24"/>
          <w:szCs w:val="24"/>
          <w14:textFill>
            <w14:solidFill>
              <w14:schemeClr w14:val="tx1"/>
            </w14:solidFill>
          </w14:textFill>
        </w:rPr>
        <w:t> </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2"/>
        <w:jc w:val="left"/>
        <w:textAlignment w:val="auto"/>
        <w:rPr>
          <w:rFonts w:hint="default" w:ascii="Times New Roman" w:hAnsi="Times New Roman" w:eastAsia="宋体" w:cs="Times New Roman"/>
          <w:color w:val="000000" w:themeColor="text1"/>
          <w:kern w:val="0"/>
          <w:sz w:val="24"/>
          <w:szCs w:val="24"/>
          <w14:textFill>
            <w14:solidFill>
              <w14:schemeClr w14:val="tx1"/>
            </w14:solidFill>
          </w14:textFill>
        </w:rPr>
      </w:pPr>
      <w:r>
        <w:rPr>
          <w:rFonts w:hint="eastAsia" w:ascii="Times New Roman" w:hAnsi="Times New Roman" w:eastAsia="宋体" w:cs="Times New Roman"/>
          <w:color w:val="000000" w:themeColor="text1"/>
          <w:kern w:val="0"/>
          <w:sz w:val="24"/>
          <w:szCs w:val="24"/>
          <w14:textFill>
            <w14:solidFill>
              <w14:schemeClr w14:val="tx1"/>
            </w14:solidFill>
          </w14:textFill>
        </w:rPr>
        <w:t>（</w:t>
      </w:r>
      <w:r>
        <w:rPr>
          <w:rFonts w:hint="default" w:ascii="Times New Roman" w:hAnsi="Times New Roman" w:eastAsia="宋体" w:cs="Times New Roman"/>
          <w:color w:val="000000" w:themeColor="text1"/>
          <w:kern w:val="0"/>
          <w:sz w:val="24"/>
          <w:szCs w:val="24"/>
          <w14:textFill>
            <w14:solidFill>
              <w14:schemeClr w14:val="tx1"/>
            </w14:solidFill>
          </w14:textFill>
        </w:rPr>
        <w:t>1</w:t>
      </w:r>
      <w:r>
        <w:rPr>
          <w:rFonts w:hint="eastAsia" w:ascii="Times New Roman" w:hAnsi="Times New Roman" w:eastAsia="宋体" w:cs="Times New Roman"/>
          <w:color w:val="000000" w:themeColor="text1"/>
          <w:kern w:val="0"/>
          <w:sz w:val="24"/>
          <w:szCs w:val="24"/>
          <w14:textFill>
            <w14:solidFill>
              <w14:schemeClr w14:val="tx1"/>
            </w14:solidFill>
          </w14:textFill>
        </w:rPr>
        <w:t>）应收票据</w:t>
      </w:r>
      <w:r>
        <w:rPr>
          <w:rFonts w:hint="default" w:ascii="Times New Roman" w:hAnsi="Times New Roman" w:eastAsia="宋体" w:cs="Times New Roman"/>
          <w:color w:val="000000" w:themeColor="text1"/>
          <w:kern w:val="0"/>
          <w:sz w:val="24"/>
          <w:szCs w:val="24"/>
          <w14:textFill>
            <w14:solidFill>
              <w14:schemeClr w14:val="tx1"/>
            </w14:solidFill>
          </w14:textFill>
        </w:rPr>
        <w:t>2023</w:t>
      </w:r>
      <w:r>
        <w:rPr>
          <w:rFonts w:hint="eastAsia" w:ascii="Times New Roman" w:hAnsi="Times New Roman" w:eastAsia="宋体" w:cs="Times New Roman"/>
          <w:color w:val="000000" w:themeColor="text1"/>
          <w:kern w:val="0"/>
          <w:sz w:val="24"/>
          <w:szCs w:val="24"/>
          <w14:textFill>
            <w14:solidFill>
              <w14:schemeClr w14:val="tx1"/>
            </w14:solidFill>
          </w14:textFill>
        </w:rPr>
        <w:t>年</w:t>
      </w:r>
      <w:r>
        <w:rPr>
          <w:rFonts w:hint="default" w:ascii="Times New Roman" w:hAnsi="Times New Roman" w:eastAsia="宋体" w:cs="Times New Roman"/>
          <w:color w:val="000000" w:themeColor="text1"/>
          <w:kern w:val="0"/>
          <w:sz w:val="24"/>
          <w:szCs w:val="24"/>
          <w14:textFill>
            <w14:solidFill>
              <w14:schemeClr w14:val="tx1"/>
            </w14:solidFill>
          </w14:textFill>
        </w:rPr>
        <w:t>9</w:t>
      </w:r>
      <w:r>
        <w:rPr>
          <w:rFonts w:hint="eastAsia" w:ascii="Times New Roman" w:hAnsi="Times New Roman" w:eastAsia="宋体" w:cs="Times New Roman"/>
          <w:color w:val="000000" w:themeColor="text1"/>
          <w:kern w:val="0"/>
          <w:sz w:val="24"/>
          <w:szCs w:val="24"/>
          <w14:textFill>
            <w14:solidFill>
              <w14:schemeClr w14:val="tx1"/>
            </w14:solidFill>
          </w14:textFill>
        </w:rPr>
        <w:t>月</w:t>
      </w:r>
      <w:r>
        <w:rPr>
          <w:rFonts w:hint="default" w:ascii="Times New Roman" w:hAnsi="Times New Roman" w:eastAsia="宋体" w:cs="Times New Roman"/>
          <w:color w:val="000000" w:themeColor="text1"/>
          <w:kern w:val="0"/>
          <w:sz w:val="24"/>
          <w:szCs w:val="24"/>
          <w14:textFill>
            <w14:solidFill>
              <w14:schemeClr w14:val="tx1"/>
            </w14:solidFill>
          </w14:textFill>
        </w:rPr>
        <w:t>30</w:t>
      </w:r>
      <w:r>
        <w:rPr>
          <w:rFonts w:hint="eastAsia" w:ascii="Times New Roman" w:hAnsi="Times New Roman" w:eastAsia="宋体" w:cs="Times New Roman"/>
          <w:color w:val="000000" w:themeColor="text1"/>
          <w:kern w:val="0"/>
          <w:sz w:val="24"/>
          <w:szCs w:val="24"/>
          <w14:textFill>
            <w14:solidFill>
              <w14:schemeClr w14:val="tx1"/>
            </w14:solidFill>
          </w14:textFill>
        </w:rPr>
        <w:t>日期末数为</w:t>
      </w:r>
      <w:r>
        <w:rPr>
          <w:rFonts w:hint="default" w:ascii="Times New Roman" w:hAnsi="Times New Roman" w:eastAsia="宋体" w:cs="Times New Roman"/>
          <w:color w:val="000000" w:themeColor="text1"/>
          <w:kern w:val="0"/>
          <w:sz w:val="24"/>
          <w:szCs w:val="24"/>
          <w14:textFill>
            <w14:solidFill>
              <w14:schemeClr w14:val="tx1"/>
            </w14:solidFill>
          </w14:textFill>
        </w:rPr>
        <w:t>11,445,590.06</w:t>
      </w:r>
      <w:r>
        <w:rPr>
          <w:rFonts w:hint="eastAsia" w:ascii="Times New Roman" w:hAnsi="Times New Roman" w:eastAsia="宋体" w:cs="Times New Roman"/>
          <w:color w:val="000000" w:themeColor="text1"/>
          <w:kern w:val="0"/>
          <w:sz w:val="24"/>
          <w:szCs w:val="24"/>
          <w14:textFill>
            <w14:solidFill>
              <w14:schemeClr w14:val="tx1"/>
            </w14:solidFill>
          </w14:textFill>
        </w:rPr>
        <w:t>元，比期初数减少</w:t>
      </w:r>
      <w:r>
        <w:rPr>
          <w:rFonts w:hint="default" w:ascii="Times New Roman" w:hAnsi="Times New Roman" w:eastAsia="宋体" w:cs="Times New Roman"/>
          <w:color w:val="000000" w:themeColor="text1"/>
          <w:kern w:val="0"/>
          <w:sz w:val="24"/>
          <w:szCs w:val="24"/>
          <w14:textFill>
            <w14:solidFill>
              <w14:schemeClr w14:val="tx1"/>
            </w14:solidFill>
          </w14:textFill>
        </w:rPr>
        <w:t>94.63%</w:t>
      </w:r>
      <w:r>
        <w:rPr>
          <w:rFonts w:hint="eastAsia" w:ascii="Times New Roman" w:hAnsi="Times New Roman" w:eastAsia="宋体" w:cs="Times New Roman"/>
          <w:color w:val="000000" w:themeColor="text1"/>
          <w:kern w:val="0"/>
          <w:sz w:val="24"/>
          <w:szCs w:val="24"/>
          <w14:textFill>
            <w14:solidFill>
              <w14:schemeClr w14:val="tx1"/>
            </w14:solidFill>
          </w14:textFill>
        </w:rPr>
        <w:t>，其主要原因系报告期电费收入收取承兑票据减少所致；</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2"/>
        <w:jc w:val="left"/>
        <w:textAlignment w:val="auto"/>
        <w:rPr>
          <w:rFonts w:hint="default" w:ascii="Times New Roman" w:hAnsi="Times New Roman" w:eastAsia="宋体" w:cs="Times New Roman"/>
          <w:color w:val="000000" w:themeColor="text1"/>
          <w:kern w:val="0"/>
          <w:sz w:val="24"/>
          <w:szCs w:val="24"/>
          <w14:textFill>
            <w14:solidFill>
              <w14:schemeClr w14:val="tx1"/>
            </w14:solidFill>
          </w14:textFill>
        </w:rPr>
      </w:pPr>
      <w:r>
        <w:rPr>
          <w:rFonts w:hint="eastAsia" w:ascii="Times New Roman" w:hAnsi="Times New Roman" w:eastAsia="宋体" w:cs="Times New Roman"/>
          <w:color w:val="000000" w:themeColor="text1"/>
          <w:kern w:val="0"/>
          <w:sz w:val="24"/>
          <w:szCs w:val="24"/>
          <w14:textFill>
            <w14:solidFill>
              <w14:schemeClr w14:val="tx1"/>
            </w14:solidFill>
          </w14:textFill>
        </w:rPr>
        <w:t>（</w:t>
      </w:r>
      <w:r>
        <w:rPr>
          <w:rFonts w:hint="default" w:ascii="Times New Roman" w:hAnsi="Times New Roman" w:eastAsia="宋体" w:cs="Times New Roman"/>
          <w:color w:val="000000" w:themeColor="text1"/>
          <w:kern w:val="0"/>
          <w:sz w:val="24"/>
          <w:szCs w:val="24"/>
          <w14:textFill>
            <w14:solidFill>
              <w14:schemeClr w14:val="tx1"/>
            </w14:solidFill>
          </w14:textFill>
        </w:rPr>
        <w:t>2</w:t>
      </w:r>
      <w:r>
        <w:rPr>
          <w:rFonts w:hint="eastAsia" w:ascii="Times New Roman" w:hAnsi="Times New Roman" w:eastAsia="宋体" w:cs="Times New Roman"/>
          <w:color w:val="000000" w:themeColor="text1"/>
          <w:kern w:val="0"/>
          <w:sz w:val="24"/>
          <w:szCs w:val="24"/>
          <w14:textFill>
            <w14:solidFill>
              <w14:schemeClr w14:val="tx1"/>
            </w14:solidFill>
          </w14:textFill>
        </w:rPr>
        <w:t>）其他应收款</w:t>
      </w:r>
      <w:r>
        <w:rPr>
          <w:rFonts w:hint="default" w:ascii="Times New Roman" w:hAnsi="Times New Roman" w:eastAsia="宋体" w:cs="Times New Roman"/>
          <w:color w:val="000000" w:themeColor="text1"/>
          <w:kern w:val="0"/>
          <w:sz w:val="24"/>
          <w:szCs w:val="24"/>
          <w14:textFill>
            <w14:solidFill>
              <w14:schemeClr w14:val="tx1"/>
            </w14:solidFill>
          </w14:textFill>
        </w:rPr>
        <w:t>2023</w:t>
      </w:r>
      <w:r>
        <w:rPr>
          <w:rFonts w:hint="eastAsia" w:ascii="Times New Roman" w:hAnsi="Times New Roman" w:eastAsia="宋体" w:cs="Times New Roman"/>
          <w:color w:val="000000" w:themeColor="text1"/>
          <w:kern w:val="0"/>
          <w:sz w:val="24"/>
          <w:szCs w:val="24"/>
          <w14:textFill>
            <w14:solidFill>
              <w14:schemeClr w14:val="tx1"/>
            </w14:solidFill>
          </w14:textFill>
        </w:rPr>
        <w:t>年</w:t>
      </w:r>
      <w:r>
        <w:rPr>
          <w:rFonts w:hint="default" w:ascii="Times New Roman" w:hAnsi="Times New Roman" w:eastAsia="宋体" w:cs="Times New Roman"/>
          <w:color w:val="000000" w:themeColor="text1"/>
          <w:kern w:val="0"/>
          <w:sz w:val="24"/>
          <w:szCs w:val="24"/>
          <w14:textFill>
            <w14:solidFill>
              <w14:schemeClr w14:val="tx1"/>
            </w14:solidFill>
          </w14:textFill>
        </w:rPr>
        <w:t>9</w:t>
      </w:r>
      <w:r>
        <w:rPr>
          <w:rFonts w:hint="eastAsia" w:ascii="Times New Roman" w:hAnsi="Times New Roman" w:eastAsia="宋体" w:cs="Times New Roman"/>
          <w:color w:val="000000" w:themeColor="text1"/>
          <w:kern w:val="0"/>
          <w:sz w:val="24"/>
          <w:szCs w:val="24"/>
          <w14:textFill>
            <w14:solidFill>
              <w14:schemeClr w14:val="tx1"/>
            </w14:solidFill>
          </w14:textFill>
        </w:rPr>
        <w:t>月</w:t>
      </w:r>
      <w:r>
        <w:rPr>
          <w:rFonts w:hint="default" w:ascii="Times New Roman" w:hAnsi="Times New Roman" w:eastAsia="宋体" w:cs="Times New Roman"/>
          <w:color w:val="000000" w:themeColor="text1"/>
          <w:kern w:val="0"/>
          <w:sz w:val="24"/>
          <w:szCs w:val="24"/>
          <w14:textFill>
            <w14:solidFill>
              <w14:schemeClr w14:val="tx1"/>
            </w14:solidFill>
          </w14:textFill>
        </w:rPr>
        <w:t>30</w:t>
      </w:r>
      <w:r>
        <w:rPr>
          <w:rFonts w:hint="eastAsia" w:ascii="Times New Roman" w:hAnsi="Times New Roman" w:eastAsia="宋体" w:cs="Times New Roman"/>
          <w:color w:val="000000" w:themeColor="text1"/>
          <w:kern w:val="0"/>
          <w:sz w:val="24"/>
          <w:szCs w:val="24"/>
          <w14:textFill>
            <w14:solidFill>
              <w14:schemeClr w14:val="tx1"/>
            </w14:solidFill>
          </w14:textFill>
        </w:rPr>
        <w:t>日期末数为</w:t>
      </w:r>
      <w:r>
        <w:rPr>
          <w:rFonts w:hint="default" w:ascii="Times New Roman" w:hAnsi="Times New Roman" w:eastAsia="宋体" w:cs="Times New Roman"/>
          <w:color w:val="000000" w:themeColor="text1"/>
          <w:kern w:val="0"/>
          <w:sz w:val="24"/>
          <w:szCs w:val="24"/>
          <w14:textFill>
            <w14:solidFill>
              <w14:schemeClr w14:val="tx1"/>
            </w14:solidFill>
          </w14:textFill>
        </w:rPr>
        <w:t>31,555,314.63</w:t>
      </w:r>
      <w:r>
        <w:rPr>
          <w:rFonts w:hint="eastAsia" w:ascii="Times New Roman" w:hAnsi="Times New Roman" w:eastAsia="宋体" w:cs="Times New Roman"/>
          <w:color w:val="000000" w:themeColor="text1"/>
          <w:kern w:val="0"/>
          <w:sz w:val="24"/>
          <w:szCs w:val="24"/>
          <w14:textFill>
            <w14:solidFill>
              <w14:schemeClr w14:val="tx1"/>
            </w14:solidFill>
          </w14:textFill>
        </w:rPr>
        <w:t>元，比期初数减少</w:t>
      </w:r>
      <w:r>
        <w:rPr>
          <w:rFonts w:hint="default" w:ascii="Times New Roman" w:hAnsi="Times New Roman" w:eastAsia="宋体" w:cs="Times New Roman"/>
          <w:color w:val="000000" w:themeColor="text1"/>
          <w:kern w:val="0"/>
          <w:sz w:val="24"/>
          <w:szCs w:val="24"/>
          <w14:textFill>
            <w14:solidFill>
              <w14:schemeClr w14:val="tx1"/>
            </w14:solidFill>
          </w14:textFill>
        </w:rPr>
        <w:t>32.54%</w:t>
      </w:r>
      <w:r>
        <w:rPr>
          <w:rFonts w:hint="eastAsia" w:ascii="Times New Roman" w:hAnsi="Times New Roman" w:eastAsia="宋体" w:cs="Times New Roman"/>
          <w:color w:val="000000" w:themeColor="text1"/>
          <w:kern w:val="0"/>
          <w:sz w:val="24"/>
          <w:szCs w:val="24"/>
          <w14:textFill>
            <w14:solidFill>
              <w14:schemeClr w14:val="tx1"/>
            </w14:solidFill>
          </w14:textFill>
        </w:rPr>
        <w:t>，其主要原因系报告期公司收回部分往来款所致；</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2"/>
        <w:jc w:val="left"/>
        <w:textAlignment w:val="auto"/>
        <w:rPr>
          <w:rFonts w:hint="default" w:ascii="Times New Roman" w:hAnsi="Times New Roman" w:eastAsia="宋体" w:cs="Times New Roman"/>
          <w:color w:val="000000" w:themeColor="text1"/>
          <w:kern w:val="0"/>
          <w:sz w:val="24"/>
          <w:szCs w:val="24"/>
          <w14:textFill>
            <w14:solidFill>
              <w14:schemeClr w14:val="tx1"/>
            </w14:solidFill>
          </w14:textFill>
        </w:rPr>
      </w:pPr>
      <w:r>
        <w:rPr>
          <w:rFonts w:hint="eastAsia" w:ascii="Times New Roman" w:hAnsi="Times New Roman" w:eastAsia="宋体" w:cs="Times New Roman"/>
          <w:color w:val="000000" w:themeColor="text1"/>
          <w:kern w:val="0"/>
          <w:sz w:val="24"/>
          <w:szCs w:val="24"/>
          <w14:textFill>
            <w14:solidFill>
              <w14:schemeClr w14:val="tx1"/>
            </w14:solidFill>
          </w14:textFill>
        </w:rPr>
        <w:t>（</w:t>
      </w:r>
      <w:r>
        <w:rPr>
          <w:rFonts w:hint="default" w:ascii="Times New Roman" w:hAnsi="Times New Roman" w:eastAsia="宋体" w:cs="Times New Roman"/>
          <w:color w:val="000000" w:themeColor="text1"/>
          <w:kern w:val="0"/>
          <w:sz w:val="24"/>
          <w:szCs w:val="24"/>
          <w14:textFill>
            <w14:solidFill>
              <w14:schemeClr w14:val="tx1"/>
            </w14:solidFill>
          </w14:textFill>
        </w:rPr>
        <w:t>3</w:t>
      </w:r>
      <w:r>
        <w:rPr>
          <w:rFonts w:hint="eastAsia" w:ascii="Times New Roman" w:hAnsi="Times New Roman" w:eastAsia="宋体" w:cs="Times New Roman"/>
          <w:color w:val="000000" w:themeColor="text1"/>
          <w:kern w:val="0"/>
          <w:sz w:val="24"/>
          <w:szCs w:val="24"/>
          <w14:textFill>
            <w14:solidFill>
              <w14:schemeClr w14:val="tx1"/>
            </w14:solidFill>
          </w14:textFill>
        </w:rPr>
        <w:t>）存货</w:t>
      </w:r>
      <w:r>
        <w:rPr>
          <w:rFonts w:hint="default" w:ascii="Times New Roman" w:hAnsi="Times New Roman" w:eastAsia="宋体" w:cs="Times New Roman"/>
          <w:color w:val="000000" w:themeColor="text1"/>
          <w:kern w:val="0"/>
          <w:sz w:val="24"/>
          <w:szCs w:val="24"/>
          <w14:textFill>
            <w14:solidFill>
              <w14:schemeClr w14:val="tx1"/>
            </w14:solidFill>
          </w14:textFill>
        </w:rPr>
        <w:t>2023</w:t>
      </w:r>
      <w:r>
        <w:rPr>
          <w:rFonts w:hint="eastAsia" w:ascii="Times New Roman" w:hAnsi="Times New Roman" w:eastAsia="宋体" w:cs="Times New Roman"/>
          <w:color w:val="000000" w:themeColor="text1"/>
          <w:kern w:val="0"/>
          <w:sz w:val="24"/>
          <w:szCs w:val="24"/>
          <w14:textFill>
            <w14:solidFill>
              <w14:schemeClr w14:val="tx1"/>
            </w14:solidFill>
          </w14:textFill>
        </w:rPr>
        <w:t>年</w:t>
      </w:r>
      <w:r>
        <w:rPr>
          <w:rFonts w:hint="default" w:ascii="Times New Roman" w:hAnsi="Times New Roman" w:eastAsia="宋体" w:cs="Times New Roman"/>
          <w:color w:val="000000" w:themeColor="text1"/>
          <w:kern w:val="0"/>
          <w:sz w:val="24"/>
          <w:szCs w:val="24"/>
          <w14:textFill>
            <w14:solidFill>
              <w14:schemeClr w14:val="tx1"/>
            </w14:solidFill>
          </w14:textFill>
        </w:rPr>
        <w:t>9</w:t>
      </w:r>
      <w:r>
        <w:rPr>
          <w:rFonts w:hint="eastAsia" w:ascii="Times New Roman" w:hAnsi="Times New Roman" w:eastAsia="宋体" w:cs="Times New Roman"/>
          <w:color w:val="000000" w:themeColor="text1"/>
          <w:kern w:val="0"/>
          <w:sz w:val="24"/>
          <w:szCs w:val="24"/>
          <w14:textFill>
            <w14:solidFill>
              <w14:schemeClr w14:val="tx1"/>
            </w14:solidFill>
          </w14:textFill>
        </w:rPr>
        <w:t>月</w:t>
      </w:r>
      <w:r>
        <w:rPr>
          <w:rFonts w:hint="default" w:ascii="Times New Roman" w:hAnsi="Times New Roman" w:eastAsia="宋体" w:cs="Times New Roman"/>
          <w:color w:val="000000" w:themeColor="text1"/>
          <w:kern w:val="0"/>
          <w:sz w:val="24"/>
          <w:szCs w:val="24"/>
          <w14:textFill>
            <w14:solidFill>
              <w14:schemeClr w14:val="tx1"/>
            </w14:solidFill>
          </w14:textFill>
        </w:rPr>
        <w:t>30</w:t>
      </w:r>
      <w:r>
        <w:rPr>
          <w:rFonts w:hint="eastAsia" w:ascii="Times New Roman" w:hAnsi="Times New Roman" w:eastAsia="宋体" w:cs="Times New Roman"/>
          <w:color w:val="000000" w:themeColor="text1"/>
          <w:kern w:val="0"/>
          <w:sz w:val="24"/>
          <w:szCs w:val="24"/>
          <w14:textFill>
            <w14:solidFill>
              <w14:schemeClr w14:val="tx1"/>
            </w14:solidFill>
          </w14:textFill>
        </w:rPr>
        <w:t>日期末数为</w:t>
      </w:r>
      <w:r>
        <w:rPr>
          <w:rFonts w:hint="default" w:ascii="Times New Roman" w:hAnsi="Times New Roman" w:eastAsia="宋体" w:cs="Times New Roman"/>
          <w:color w:val="000000" w:themeColor="text1"/>
          <w:kern w:val="0"/>
          <w:sz w:val="24"/>
          <w:szCs w:val="24"/>
          <w14:textFill>
            <w14:solidFill>
              <w14:schemeClr w14:val="tx1"/>
            </w14:solidFill>
          </w14:textFill>
        </w:rPr>
        <w:t>952,433,921.51</w:t>
      </w:r>
      <w:r>
        <w:rPr>
          <w:rFonts w:hint="eastAsia" w:ascii="Times New Roman" w:hAnsi="Times New Roman" w:eastAsia="宋体" w:cs="Times New Roman"/>
          <w:color w:val="000000" w:themeColor="text1"/>
          <w:kern w:val="0"/>
          <w:sz w:val="24"/>
          <w:szCs w:val="24"/>
          <w14:textFill>
            <w14:solidFill>
              <w14:schemeClr w14:val="tx1"/>
            </w14:solidFill>
          </w14:textFill>
        </w:rPr>
        <w:t>元，比期初数增加</w:t>
      </w:r>
      <w:r>
        <w:rPr>
          <w:rFonts w:hint="default" w:ascii="Times New Roman" w:hAnsi="Times New Roman" w:eastAsia="宋体" w:cs="Times New Roman"/>
          <w:color w:val="000000" w:themeColor="text1"/>
          <w:kern w:val="0"/>
          <w:sz w:val="24"/>
          <w:szCs w:val="24"/>
          <w14:textFill>
            <w14:solidFill>
              <w14:schemeClr w14:val="tx1"/>
            </w14:solidFill>
          </w14:textFill>
        </w:rPr>
        <w:t>68.03%</w:t>
      </w:r>
      <w:r>
        <w:rPr>
          <w:rFonts w:hint="eastAsia" w:ascii="Times New Roman" w:hAnsi="Times New Roman" w:eastAsia="宋体" w:cs="Times New Roman"/>
          <w:color w:val="000000" w:themeColor="text1"/>
          <w:kern w:val="0"/>
          <w:sz w:val="24"/>
          <w:szCs w:val="24"/>
          <w14:textFill>
            <w14:solidFill>
              <w14:schemeClr w14:val="tx1"/>
            </w14:solidFill>
          </w14:textFill>
        </w:rPr>
        <w:t>，其主要原因系报告期公司新投火电机组调试燃料增加所致；</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2"/>
        <w:jc w:val="left"/>
        <w:textAlignment w:val="auto"/>
        <w:rPr>
          <w:rFonts w:hint="default" w:ascii="Times New Roman" w:hAnsi="Times New Roman" w:eastAsia="宋体" w:cs="Times New Roman"/>
          <w:color w:val="000000" w:themeColor="text1"/>
          <w:kern w:val="0"/>
          <w:sz w:val="24"/>
          <w:szCs w:val="24"/>
          <w14:textFill>
            <w14:solidFill>
              <w14:schemeClr w14:val="tx1"/>
            </w14:solidFill>
          </w14:textFill>
        </w:rPr>
      </w:pPr>
      <w:r>
        <w:rPr>
          <w:rFonts w:hint="eastAsia" w:ascii="Times New Roman" w:hAnsi="Times New Roman" w:eastAsia="宋体" w:cs="Times New Roman"/>
          <w:color w:val="000000" w:themeColor="text1"/>
          <w:kern w:val="0"/>
          <w:sz w:val="24"/>
          <w:szCs w:val="24"/>
          <w14:textFill>
            <w14:solidFill>
              <w14:schemeClr w14:val="tx1"/>
            </w14:solidFill>
          </w14:textFill>
        </w:rPr>
        <w:t>（</w:t>
      </w:r>
      <w:r>
        <w:rPr>
          <w:rFonts w:hint="default" w:ascii="Times New Roman" w:hAnsi="Times New Roman" w:eastAsia="宋体" w:cs="Times New Roman"/>
          <w:color w:val="000000" w:themeColor="text1"/>
          <w:kern w:val="0"/>
          <w:sz w:val="24"/>
          <w:szCs w:val="24"/>
          <w14:textFill>
            <w14:solidFill>
              <w14:schemeClr w14:val="tx1"/>
            </w14:solidFill>
          </w14:textFill>
        </w:rPr>
        <w:t>4</w:t>
      </w:r>
      <w:r>
        <w:rPr>
          <w:rFonts w:hint="eastAsia" w:ascii="Times New Roman" w:hAnsi="Times New Roman" w:eastAsia="宋体" w:cs="Times New Roman"/>
          <w:color w:val="000000" w:themeColor="text1"/>
          <w:kern w:val="0"/>
          <w:sz w:val="24"/>
          <w:szCs w:val="24"/>
          <w14:textFill>
            <w14:solidFill>
              <w14:schemeClr w14:val="tx1"/>
            </w14:solidFill>
          </w14:textFill>
        </w:rPr>
        <w:t>）固定资产</w:t>
      </w:r>
      <w:r>
        <w:rPr>
          <w:rFonts w:hint="default" w:ascii="Times New Roman" w:hAnsi="Times New Roman" w:eastAsia="宋体" w:cs="Times New Roman"/>
          <w:color w:val="000000" w:themeColor="text1"/>
          <w:kern w:val="0"/>
          <w:sz w:val="24"/>
          <w:szCs w:val="24"/>
          <w14:textFill>
            <w14:solidFill>
              <w14:schemeClr w14:val="tx1"/>
            </w14:solidFill>
          </w14:textFill>
        </w:rPr>
        <w:t>2023</w:t>
      </w:r>
      <w:r>
        <w:rPr>
          <w:rFonts w:hint="eastAsia" w:ascii="Times New Roman" w:hAnsi="Times New Roman" w:eastAsia="宋体" w:cs="Times New Roman"/>
          <w:color w:val="000000" w:themeColor="text1"/>
          <w:kern w:val="0"/>
          <w:sz w:val="24"/>
          <w:szCs w:val="24"/>
          <w14:textFill>
            <w14:solidFill>
              <w14:schemeClr w14:val="tx1"/>
            </w14:solidFill>
          </w14:textFill>
        </w:rPr>
        <w:t>年</w:t>
      </w:r>
      <w:r>
        <w:rPr>
          <w:rFonts w:hint="default" w:ascii="Times New Roman" w:hAnsi="Times New Roman" w:eastAsia="宋体" w:cs="Times New Roman"/>
          <w:color w:val="000000" w:themeColor="text1"/>
          <w:kern w:val="0"/>
          <w:sz w:val="24"/>
          <w:szCs w:val="24"/>
          <w14:textFill>
            <w14:solidFill>
              <w14:schemeClr w14:val="tx1"/>
            </w14:solidFill>
          </w14:textFill>
        </w:rPr>
        <w:t>9</w:t>
      </w:r>
      <w:r>
        <w:rPr>
          <w:rFonts w:hint="eastAsia" w:ascii="Times New Roman" w:hAnsi="Times New Roman" w:eastAsia="宋体" w:cs="Times New Roman"/>
          <w:color w:val="000000" w:themeColor="text1"/>
          <w:kern w:val="0"/>
          <w:sz w:val="24"/>
          <w:szCs w:val="24"/>
          <w14:textFill>
            <w14:solidFill>
              <w14:schemeClr w14:val="tx1"/>
            </w14:solidFill>
          </w14:textFill>
        </w:rPr>
        <w:t>月</w:t>
      </w:r>
      <w:r>
        <w:rPr>
          <w:rFonts w:hint="default" w:ascii="Times New Roman" w:hAnsi="Times New Roman" w:eastAsia="宋体" w:cs="Times New Roman"/>
          <w:color w:val="000000" w:themeColor="text1"/>
          <w:kern w:val="0"/>
          <w:sz w:val="24"/>
          <w:szCs w:val="24"/>
          <w14:textFill>
            <w14:solidFill>
              <w14:schemeClr w14:val="tx1"/>
            </w14:solidFill>
          </w14:textFill>
        </w:rPr>
        <w:t>30</w:t>
      </w:r>
      <w:r>
        <w:rPr>
          <w:rFonts w:hint="eastAsia" w:ascii="Times New Roman" w:hAnsi="Times New Roman" w:eastAsia="宋体" w:cs="Times New Roman"/>
          <w:color w:val="000000" w:themeColor="text1"/>
          <w:kern w:val="0"/>
          <w:sz w:val="24"/>
          <w:szCs w:val="24"/>
          <w14:textFill>
            <w14:solidFill>
              <w14:schemeClr w14:val="tx1"/>
            </w14:solidFill>
          </w14:textFill>
        </w:rPr>
        <w:t>日期末数为</w:t>
      </w:r>
      <w:r>
        <w:rPr>
          <w:rFonts w:hint="default" w:ascii="Times New Roman" w:hAnsi="Times New Roman" w:eastAsia="宋体" w:cs="Times New Roman"/>
          <w:color w:val="000000" w:themeColor="text1"/>
          <w:kern w:val="0"/>
          <w:sz w:val="24"/>
          <w:szCs w:val="24"/>
          <w14:textFill>
            <w14:solidFill>
              <w14:schemeClr w14:val="tx1"/>
            </w14:solidFill>
          </w14:textFill>
        </w:rPr>
        <w:t>20,974,297,923.27</w:t>
      </w:r>
      <w:r>
        <w:rPr>
          <w:rFonts w:hint="eastAsia" w:ascii="Times New Roman" w:hAnsi="Times New Roman" w:eastAsia="宋体" w:cs="Times New Roman"/>
          <w:color w:val="000000" w:themeColor="text1"/>
          <w:kern w:val="0"/>
          <w:sz w:val="24"/>
          <w:szCs w:val="24"/>
          <w14:textFill>
            <w14:solidFill>
              <w14:schemeClr w14:val="tx1"/>
            </w14:solidFill>
          </w14:textFill>
        </w:rPr>
        <w:t>元，比期初数增加</w:t>
      </w:r>
      <w:r>
        <w:rPr>
          <w:rFonts w:hint="default" w:ascii="Times New Roman" w:hAnsi="Times New Roman" w:eastAsia="宋体" w:cs="Times New Roman"/>
          <w:color w:val="000000" w:themeColor="text1"/>
          <w:kern w:val="0"/>
          <w:sz w:val="24"/>
          <w:szCs w:val="24"/>
          <w14:textFill>
            <w14:solidFill>
              <w14:schemeClr w14:val="tx1"/>
            </w14:solidFill>
          </w14:textFill>
        </w:rPr>
        <w:t>39.95%</w:t>
      </w:r>
      <w:r>
        <w:rPr>
          <w:rFonts w:hint="eastAsia" w:ascii="Times New Roman" w:hAnsi="Times New Roman" w:eastAsia="宋体" w:cs="Times New Roman"/>
          <w:color w:val="000000" w:themeColor="text1"/>
          <w:kern w:val="0"/>
          <w:sz w:val="24"/>
          <w:szCs w:val="24"/>
          <w14:textFill>
            <w14:solidFill>
              <w14:schemeClr w14:val="tx1"/>
            </w14:solidFill>
          </w14:textFill>
        </w:rPr>
        <w:t>，其主要原因系报告期公司基建项目转固增加所致；</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2"/>
        <w:jc w:val="left"/>
        <w:textAlignment w:val="auto"/>
        <w:rPr>
          <w:rFonts w:hint="default" w:ascii="Times New Roman" w:hAnsi="Times New Roman" w:eastAsia="宋体" w:cs="Times New Roman"/>
          <w:color w:val="000000" w:themeColor="text1"/>
          <w:kern w:val="0"/>
          <w:sz w:val="24"/>
          <w:szCs w:val="24"/>
          <w14:textFill>
            <w14:solidFill>
              <w14:schemeClr w14:val="tx1"/>
            </w14:solidFill>
          </w14:textFill>
        </w:rPr>
      </w:pPr>
      <w:r>
        <w:rPr>
          <w:rFonts w:hint="eastAsia" w:ascii="Times New Roman" w:hAnsi="Times New Roman" w:eastAsia="宋体" w:cs="Times New Roman"/>
          <w:color w:val="000000" w:themeColor="text1"/>
          <w:kern w:val="0"/>
          <w:sz w:val="24"/>
          <w:szCs w:val="24"/>
          <w14:textFill>
            <w14:solidFill>
              <w14:schemeClr w14:val="tx1"/>
            </w14:solidFill>
          </w14:textFill>
        </w:rPr>
        <w:t>（</w:t>
      </w:r>
      <w:r>
        <w:rPr>
          <w:rFonts w:hint="default" w:ascii="Times New Roman" w:hAnsi="Times New Roman" w:eastAsia="宋体" w:cs="Times New Roman"/>
          <w:color w:val="000000" w:themeColor="text1"/>
          <w:kern w:val="0"/>
          <w:sz w:val="24"/>
          <w:szCs w:val="24"/>
          <w14:textFill>
            <w14:solidFill>
              <w14:schemeClr w14:val="tx1"/>
            </w14:solidFill>
          </w14:textFill>
        </w:rPr>
        <w:t>5</w:t>
      </w:r>
      <w:r>
        <w:rPr>
          <w:rFonts w:hint="eastAsia" w:ascii="Times New Roman" w:hAnsi="Times New Roman" w:eastAsia="宋体" w:cs="Times New Roman"/>
          <w:color w:val="000000" w:themeColor="text1"/>
          <w:kern w:val="0"/>
          <w:sz w:val="24"/>
          <w:szCs w:val="24"/>
          <w14:textFill>
            <w14:solidFill>
              <w14:schemeClr w14:val="tx1"/>
            </w14:solidFill>
          </w14:textFill>
        </w:rPr>
        <w:t>）使用权资产</w:t>
      </w:r>
      <w:r>
        <w:rPr>
          <w:rFonts w:hint="default" w:ascii="Times New Roman" w:hAnsi="Times New Roman" w:eastAsia="宋体" w:cs="Times New Roman"/>
          <w:color w:val="000000" w:themeColor="text1"/>
          <w:kern w:val="0"/>
          <w:sz w:val="24"/>
          <w:szCs w:val="24"/>
          <w14:textFill>
            <w14:solidFill>
              <w14:schemeClr w14:val="tx1"/>
            </w14:solidFill>
          </w14:textFill>
        </w:rPr>
        <w:t>2023</w:t>
      </w:r>
      <w:r>
        <w:rPr>
          <w:rFonts w:hint="eastAsia" w:ascii="Times New Roman" w:hAnsi="Times New Roman" w:eastAsia="宋体" w:cs="Times New Roman"/>
          <w:color w:val="000000" w:themeColor="text1"/>
          <w:kern w:val="0"/>
          <w:sz w:val="24"/>
          <w:szCs w:val="24"/>
          <w14:textFill>
            <w14:solidFill>
              <w14:schemeClr w14:val="tx1"/>
            </w14:solidFill>
          </w14:textFill>
        </w:rPr>
        <w:t>年</w:t>
      </w:r>
      <w:r>
        <w:rPr>
          <w:rFonts w:hint="default" w:ascii="Times New Roman" w:hAnsi="Times New Roman" w:eastAsia="宋体" w:cs="Times New Roman"/>
          <w:color w:val="000000" w:themeColor="text1"/>
          <w:kern w:val="0"/>
          <w:sz w:val="24"/>
          <w:szCs w:val="24"/>
          <w14:textFill>
            <w14:solidFill>
              <w14:schemeClr w14:val="tx1"/>
            </w14:solidFill>
          </w14:textFill>
        </w:rPr>
        <w:t>9</w:t>
      </w:r>
      <w:r>
        <w:rPr>
          <w:rFonts w:hint="eastAsia" w:ascii="Times New Roman" w:hAnsi="Times New Roman" w:eastAsia="宋体" w:cs="Times New Roman"/>
          <w:color w:val="000000" w:themeColor="text1"/>
          <w:kern w:val="0"/>
          <w:sz w:val="24"/>
          <w:szCs w:val="24"/>
          <w14:textFill>
            <w14:solidFill>
              <w14:schemeClr w14:val="tx1"/>
            </w14:solidFill>
          </w14:textFill>
        </w:rPr>
        <w:t>月</w:t>
      </w:r>
      <w:r>
        <w:rPr>
          <w:rFonts w:hint="default" w:ascii="Times New Roman" w:hAnsi="Times New Roman" w:eastAsia="宋体" w:cs="Times New Roman"/>
          <w:color w:val="000000" w:themeColor="text1"/>
          <w:kern w:val="0"/>
          <w:sz w:val="24"/>
          <w:szCs w:val="24"/>
          <w14:textFill>
            <w14:solidFill>
              <w14:schemeClr w14:val="tx1"/>
            </w14:solidFill>
          </w14:textFill>
        </w:rPr>
        <w:t>30</w:t>
      </w:r>
      <w:r>
        <w:rPr>
          <w:rFonts w:hint="eastAsia" w:ascii="Times New Roman" w:hAnsi="Times New Roman" w:eastAsia="宋体" w:cs="Times New Roman"/>
          <w:color w:val="000000" w:themeColor="text1"/>
          <w:kern w:val="0"/>
          <w:sz w:val="24"/>
          <w:szCs w:val="24"/>
          <w14:textFill>
            <w14:solidFill>
              <w14:schemeClr w14:val="tx1"/>
            </w14:solidFill>
          </w14:textFill>
        </w:rPr>
        <w:t>日期末数为</w:t>
      </w:r>
      <w:r>
        <w:rPr>
          <w:rFonts w:hint="default" w:ascii="Times New Roman" w:hAnsi="Times New Roman" w:eastAsia="宋体" w:cs="Times New Roman"/>
          <w:color w:val="000000" w:themeColor="text1"/>
          <w:kern w:val="0"/>
          <w:sz w:val="24"/>
          <w:szCs w:val="24"/>
          <w14:textFill>
            <w14:solidFill>
              <w14:schemeClr w14:val="tx1"/>
            </w14:solidFill>
          </w14:textFill>
        </w:rPr>
        <w:t>556,450,280.50</w:t>
      </w:r>
      <w:r>
        <w:rPr>
          <w:rFonts w:hint="eastAsia" w:ascii="Times New Roman" w:hAnsi="Times New Roman" w:eastAsia="宋体" w:cs="Times New Roman"/>
          <w:color w:val="000000" w:themeColor="text1"/>
          <w:kern w:val="0"/>
          <w:sz w:val="24"/>
          <w:szCs w:val="24"/>
          <w14:textFill>
            <w14:solidFill>
              <w14:schemeClr w14:val="tx1"/>
            </w14:solidFill>
          </w14:textFill>
        </w:rPr>
        <w:t>元，比期初数增加</w:t>
      </w:r>
      <w:r>
        <w:rPr>
          <w:rFonts w:hint="default" w:ascii="Times New Roman" w:hAnsi="Times New Roman" w:eastAsia="宋体" w:cs="Times New Roman"/>
          <w:color w:val="000000" w:themeColor="text1"/>
          <w:kern w:val="0"/>
          <w:sz w:val="24"/>
          <w:szCs w:val="24"/>
          <w14:textFill>
            <w14:solidFill>
              <w14:schemeClr w14:val="tx1"/>
            </w14:solidFill>
          </w14:textFill>
        </w:rPr>
        <w:t>43.93%</w:t>
      </w:r>
      <w:r>
        <w:rPr>
          <w:rFonts w:hint="eastAsia" w:ascii="Times New Roman" w:hAnsi="Times New Roman" w:eastAsia="宋体" w:cs="Times New Roman"/>
          <w:color w:val="000000" w:themeColor="text1"/>
          <w:kern w:val="0"/>
          <w:sz w:val="24"/>
          <w:szCs w:val="24"/>
          <w14:textFill>
            <w14:solidFill>
              <w14:schemeClr w14:val="tx1"/>
            </w14:solidFill>
          </w14:textFill>
        </w:rPr>
        <w:t>，其主要原因系报告期公司所属单位租赁土地及房屋增加所致；</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2"/>
        <w:jc w:val="left"/>
        <w:textAlignment w:val="auto"/>
        <w:rPr>
          <w:rFonts w:hint="default" w:ascii="Times New Roman" w:hAnsi="Times New Roman" w:eastAsia="宋体" w:cs="Times New Roman"/>
          <w:color w:val="000000" w:themeColor="text1"/>
          <w:kern w:val="0"/>
          <w:sz w:val="24"/>
          <w:szCs w:val="24"/>
          <w14:textFill>
            <w14:solidFill>
              <w14:schemeClr w14:val="tx1"/>
            </w14:solidFill>
          </w14:textFill>
        </w:rPr>
      </w:pPr>
      <w:r>
        <w:rPr>
          <w:rFonts w:hint="eastAsia" w:ascii="Times New Roman" w:hAnsi="Times New Roman" w:eastAsia="宋体" w:cs="Times New Roman"/>
          <w:color w:val="000000" w:themeColor="text1"/>
          <w:kern w:val="0"/>
          <w:sz w:val="24"/>
          <w:szCs w:val="24"/>
          <w14:textFill>
            <w14:solidFill>
              <w14:schemeClr w14:val="tx1"/>
            </w14:solidFill>
          </w14:textFill>
        </w:rPr>
        <w:t>（</w:t>
      </w:r>
      <w:r>
        <w:rPr>
          <w:rFonts w:hint="default" w:ascii="Times New Roman" w:hAnsi="Times New Roman" w:eastAsia="宋体" w:cs="Times New Roman"/>
          <w:color w:val="000000" w:themeColor="text1"/>
          <w:kern w:val="0"/>
          <w:sz w:val="24"/>
          <w:szCs w:val="24"/>
          <w14:textFill>
            <w14:solidFill>
              <w14:schemeClr w14:val="tx1"/>
            </w14:solidFill>
          </w14:textFill>
        </w:rPr>
        <w:t>6</w:t>
      </w:r>
      <w:r>
        <w:rPr>
          <w:rFonts w:hint="eastAsia" w:ascii="Times New Roman" w:hAnsi="Times New Roman" w:eastAsia="宋体" w:cs="Times New Roman"/>
          <w:color w:val="000000" w:themeColor="text1"/>
          <w:kern w:val="0"/>
          <w:sz w:val="24"/>
          <w:szCs w:val="24"/>
          <w14:textFill>
            <w14:solidFill>
              <w14:schemeClr w14:val="tx1"/>
            </w14:solidFill>
          </w14:textFill>
        </w:rPr>
        <w:t>）递延所得税资产</w:t>
      </w:r>
      <w:r>
        <w:rPr>
          <w:rFonts w:hint="default" w:ascii="Times New Roman" w:hAnsi="Times New Roman" w:eastAsia="宋体" w:cs="Times New Roman"/>
          <w:color w:val="000000" w:themeColor="text1"/>
          <w:kern w:val="0"/>
          <w:sz w:val="24"/>
          <w:szCs w:val="24"/>
          <w14:textFill>
            <w14:solidFill>
              <w14:schemeClr w14:val="tx1"/>
            </w14:solidFill>
          </w14:textFill>
        </w:rPr>
        <w:t>2023</w:t>
      </w:r>
      <w:r>
        <w:rPr>
          <w:rFonts w:hint="eastAsia" w:ascii="Times New Roman" w:hAnsi="Times New Roman" w:eastAsia="宋体" w:cs="Times New Roman"/>
          <w:color w:val="000000" w:themeColor="text1"/>
          <w:kern w:val="0"/>
          <w:sz w:val="24"/>
          <w:szCs w:val="24"/>
          <w14:textFill>
            <w14:solidFill>
              <w14:schemeClr w14:val="tx1"/>
            </w14:solidFill>
          </w14:textFill>
        </w:rPr>
        <w:t>年</w:t>
      </w:r>
      <w:r>
        <w:rPr>
          <w:rFonts w:hint="default" w:ascii="Times New Roman" w:hAnsi="Times New Roman" w:eastAsia="宋体" w:cs="Times New Roman"/>
          <w:color w:val="000000" w:themeColor="text1"/>
          <w:kern w:val="0"/>
          <w:sz w:val="24"/>
          <w:szCs w:val="24"/>
          <w14:textFill>
            <w14:solidFill>
              <w14:schemeClr w14:val="tx1"/>
            </w14:solidFill>
          </w14:textFill>
        </w:rPr>
        <w:t>9</w:t>
      </w:r>
      <w:r>
        <w:rPr>
          <w:rFonts w:hint="eastAsia" w:ascii="Times New Roman" w:hAnsi="Times New Roman" w:eastAsia="宋体" w:cs="Times New Roman"/>
          <w:color w:val="000000" w:themeColor="text1"/>
          <w:kern w:val="0"/>
          <w:sz w:val="24"/>
          <w:szCs w:val="24"/>
          <w14:textFill>
            <w14:solidFill>
              <w14:schemeClr w14:val="tx1"/>
            </w14:solidFill>
          </w14:textFill>
        </w:rPr>
        <w:t>月</w:t>
      </w:r>
      <w:r>
        <w:rPr>
          <w:rFonts w:hint="default" w:ascii="Times New Roman" w:hAnsi="Times New Roman" w:eastAsia="宋体" w:cs="Times New Roman"/>
          <w:color w:val="000000" w:themeColor="text1"/>
          <w:kern w:val="0"/>
          <w:sz w:val="24"/>
          <w:szCs w:val="24"/>
          <w14:textFill>
            <w14:solidFill>
              <w14:schemeClr w14:val="tx1"/>
            </w14:solidFill>
          </w14:textFill>
        </w:rPr>
        <w:t>30</w:t>
      </w:r>
      <w:r>
        <w:rPr>
          <w:rFonts w:hint="eastAsia" w:ascii="Times New Roman" w:hAnsi="Times New Roman" w:eastAsia="宋体" w:cs="Times New Roman"/>
          <w:color w:val="000000" w:themeColor="text1"/>
          <w:kern w:val="0"/>
          <w:sz w:val="24"/>
          <w:szCs w:val="24"/>
          <w14:textFill>
            <w14:solidFill>
              <w14:schemeClr w14:val="tx1"/>
            </w14:solidFill>
          </w14:textFill>
        </w:rPr>
        <w:t>日期末数为</w:t>
      </w:r>
      <w:r>
        <w:rPr>
          <w:rFonts w:hint="default" w:ascii="Times New Roman" w:hAnsi="Times New Roman" w:eastAsia="宋体" w:cs="Times New Roman"/>
          <w:color w:val="000000" w:themeColor="text1"/>
          <w:kern w:val="0"/>
          <w:sz w:val="24"/>
          <w:szCs w:val="24"/>
          <w14:textFill>
            <w14:solidFill>
              <w14:schemeClr w14:val="tx1"/>
            </w14:solidFill>
          </w14:textFill>
        </w:rPr>
        <w:t>95,766,108.27</w:t>
      </w:r>
      <w:r>
        <w:rPr>
          <w:rFonts w:hint="eastAsia" w:ascii="Times New Roman" w:hAnsi="Times New Roman" w:eastAsia="宋体" w:cs="Times New Roman"/>
          <w:color w:val="000000" w:themeColor="text1"/>
          <w:kern w:val="0"/>
          <w:sz w:val="24"/>
          <w:szCs w:val="24"/>
          <w14:textFill>
            <w14:solidFill>
              <w14:schemeClr w14:val="tx1"/>
            </w14:solidFill>
          </w14:textFill>
        </w:rPr>
        <w:t>元，比期初数减少</w:t>
      </w:r>
      <w:r>
        <w:rPr>
          <w:rFonts w:hint="default" w:ascii="Times New Roman" w:hAnsi="Times New Roman" w:eastAsia="宋体" w:cs="Times New Roman"/>
          <w:color w:val="000000" w:themeColor="text1"/>
          <w:kern w:val="0"/>
          <w:sz w:val="24"/>
          <w:szCs w:val="24"/>
          <w14:textFill>
            <w14:solidFill>
              <w14:schemeClr w14:val="tx1"/>
            </w14:solidFill>
          </w14:textFill>
        </w:rPr>
        <w:t>37.50%</w:t>
      </w:r>
      <w:r>
        <w:rPr>
          <w:rFonts w:hint="eastAsia" w:ascii="Times New Roman" w:hAnsi="Times New Roman" w:eastAsia="宋体" w:cs="Times New Roman"/>
          <w:color w:val="000000" w:themeColor="text1"/>
          <w:kern w:val="0"/>
          <w:sz w:val="24"/>
          <w:szCs w:val="24"/>
          <w14:textFill>
            <w14:solidFill>
              <w14:schemeClr w14:val="tx1"/>
            </w14:solidFill>
          </w14:textFill>
        </w:rPr>
        <w:t>，其主要原因系报告期公司所属以前年度亏损单位本期盈利转回递延所得税资产所致；</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2"/>
        <w:jc w:val="left"/>
        <w:textAlignment w:val="auto"/>
        <w:rPr>
          <w:rFonts w:hint="default" w:ascii="Times New Roman" w:hAnsi="Times New Roman" w:eastAsia="宋体" w:cs="Times New Roman"/>
          <w:color w:val="000000" w:themeColor="text1"/>
          <w:kern w:val="0"/>
          <w:sz w:val="24"/>
          <w:szCs w:val="24"/>
          <w14:textFill>
            <w14:solidFill>
              <w14:schemeClr w14:val="tx1"/>
            </w14:solidFill>
          </w14:textFill>
        </w:rPr>
      </w:pPr>
      <w:r>
        <w:rPr>
          <w:rFonts w:hint="eastAsia" w:ascii="Times New Roman" w:hAnsi="Times New Roman" w:eastAsia="宋体" w:cs="Times New Roman"/>
          <w:color w:val="000000" w:themeColor="text1"/>
          <w:kern w:val="0"/>
          <w:sz w:val="24"/>
          <w:szCs w:val="24"/>
          <w14:textFill>
            <w14:solidFill>
              <w14:schemeClr w14:val="tx1"/>
            </w14:solidFill>
          </w14:textFill>
        </w:rPr>
        <w:t>（</w:t>
      </w:r>
      <w:r>
        <w:rPr>
          <w:rFonts w:hint="default" w:ascii="Times New Roman" w:hAnsi="Times New Roman" w:eastAsia="宋体" w:cs="Times New Roman"/>
          <w:color w:val="000000" w:themeColor="text1"/>
          <w:kern w:val="0"/>
          <w:sz w:val="24"/>
          <w:szCs w:val="24"/>
          <w14:textFill>
            <w14:solidFill>
              <w14:schemeClr w14:val="tx1"/>
            </w14:solidFill>
          </w14:textFill>
        </w:rPr>
        <w:t>7</w:t>
      </w:r>
      <w:r>
        <w:rPr>
          <w:rFonts w:hint="eastAsia" w:ascii="Times New Roman" w:hAnsi="Times New Roman" w:eastAsia="宋体" w:cs="Times New Roman"/>
          <w:color w:val="000000" w:themeColor="text1"/>
          <w:kern w:val="0"/>
          <w:sz w:val="24"/>
          <w:szCs w:val="24"/>
          <w14:textFill>
            <w14:solidFill>
              <w14:schemeClr w14:val="tx1"/>
            </w14:solidFill>
          </w14:textFill>
        </w:rPr>
        <w:t>）预收款项</w:t>
      </w:r>
      <w:r>
        <w:rPr>
          <w:rFonts w:hint="default" w:ascii="Times New Roman" w:hAnsi="Times New Roman" w:eastAsia="宋体" w:cs="Times New Roman"/>
          <w:color w:val="000000" w:themeColor="text1"/>
          <w:kern w:val="0"/>
          <w:sz w:val="24"/>
          <w:szCs w:val="24"/>
          <w14:textFill>
            <w14:solidFill>
              <w14:schemeClr w14:val="tx1"/>
            </w14:solidFill>
          </w14:textFill>
        </w:rPr>
        <w:t>2023</w:t>
      </w:r>
      <w:r>
        <w:rPr>
          <w:rFonts w:hint="eastAsia" w:ascii="Times New Roman" w:hAnsi="Times New Roman" w:eastAsia="宋体" w:cs="Times New Roman"/>
          <w:color w:val="000000" w:themeColor="text1"/>
          <w:kern w:val="0"/>
          <w:sz w:val="24"/>
          <w:szCs w:val="24"/>
          <w14:textFill>
            <w14:solidFill>
              <w14:schemeClr w14:val="tx1"/>
            </w14:solidFill>
          </w14:textFill>
        </w:rPr>
        <w:t>年</w:t>
      </w:r>
      <w:r>
        <w:rPr>
          <w:rFonts w:hint="default" w:ascii="Times New Roman" w:hAnsi="Times New Roman" w:eastAsia="宋体" w:cs="Times New Roman"/>
          <w:color w:val="000000" w:themeColor="text1"/>
          <w:kern w:val="0"/>
          <w:sz w:val="24"/>
          <w:szCs w:val="24"/>
          <w14:textFill>
            <w14:solidFill>
              <w14:schemeClr w14:val="tx1"/>
            </w14:solidFill>
          </w14:textFill>
        </w:rPr>
        <w:t>9</w:t>
      </w:r>
      <w:r>
        <w:rPr>
          <w:rFonts w:hint="eastAsia" w:ascii="Times New Roman" w:hAnsi="Times New Roman" w:eastAsia="宋体" w:cs="Times New Roman"/>
          <w:color w:val="000000" w:themeColor="text1"/>
          <w:kern w:val="0"/>
          <w:sz w:val="24"/>
          <w:szCs w:val="24"/>
          <w14:textFill>
            <w14:solidFill>
              <w14:schemeClr w14:val="tx1"/>
            </w14:solidFill>
          </w14:textFill>
        </w:rPr>
        <w:t>月</w:t>
      </w:r>
      <w:r>
        <w:rPr>
          <w:rFonts w:hint="default" w:ascii="Times New Roman" w:hAnsi="Times New Roman" w:eastAsia="宋体" w:cs="Times New Roman"/>
          <w:color w:val="000000" w:themeColor="text1"/>
          <w:kern w:val="0"/>
          <w:sz w:val="24"/>
          <w:szCs w:val="24"/>
          <w14:textFill>
            <w14:solidFill>
              <w14:schemeClr w14:val="tx1"/>
            </w14:solidFill>
          </w14:textFill>
        </w:rPr>
        <w:t>30</w:t>
      </w:r>
      <w:r>
        <w:rPr>
          <w:rFonts w:hint="eastAsia" w:ascii="Times New Roman" w:hAnsi="Times New Roman" w:eastAsia="宋体" w:cs="Times New Roman"/>
          <w:color w:val="000000" w:themeColor="text1"/>
          <w:kern w:val="0"/>
          <w:sz w:val="24"/>
          <w:szCs w:val="24"/>
          <w14:textFill>
            <w14:solidFill>
              <w14:schemeClr w14:val="tx1"/>
            </w14:solidFill>
          </w14:textFill>
        </w:rPr>
        <w:t>日期末数为</w:t>
      </w:r>
      <w:r>
        <w:rPr>
          <w:rFonts w:hint="default" w:ascii="Times New Roman" w:hAnsi="Times New Roman" w:eastAsia="宋体" w:cs="Times New Roman"/>
          <w:color w:val="000000" w:themeColor="text1"/>
          <w:kern w:val="0"/>
          <w:sz w:val="24"/>
          <w:szCs w:val="24"/>
          <w14:textFill>
            <w14:solidFill>
              <w14:schemeClr w14:val="tx1"/>
            </w14:solidFill>
          </w14:textFill>
        </w:rPr>
        <w:t>12,814,640.40</w:t>
      </w:r>
      <w:r>
        <w:rPr>
          <w:rFonts w:hint="eastAsia" w:ascii="Times New Roman" w:hAnsi="Times New Roman" w:eastAsia="宋体" w:cs="Times New Roman"/>
          <w:color w:val="000000" w:themeColor="text1"/>
          <w:kern w:val="0"/>
          <w:sz w:val="24"/>
          <w:szCs w:val="24"/>
          <w14:textFill>
            <w14:solidFill>
              <w14:schemeClr w14:val="tx1"/>
            </w14:solidFill>
          </w14:textFill>
        </w:rPr>
        <w:t>元，比期初数增加</w:t>
      </w:r>
      <w:r>
        <w:rPr>
          <w:rFonts w:hint="default" w:ascii="Times New Roman" w:hAnsi="Times New Roman" w:eastAsia="宋体" w:cs="Times New Roman"/>
          <w:color w:val="000000" w:themeColor="text1"/>
          <w:kern w:val="0"/>
          <w:sz w:val="24"/>
          <w:szCs w:val="24"/>
          <w14:textFill>
            <w14:solidFill>
              <w14:schemeClr w14:val="tx1"/>
            </w14:solidFill>
          </w14:textFill>
        </w:rPr>
        <w:t>698.32%</w:t>
      </w:r>
      <w:r>
        <w:rPr>
          <w:rFonts w:hint="eastAsia" w:ascii="Times New Roman" w:hAnsi="Times New Roman" w:eastAsia="宋体" w:cs="Times New Roman"/>
          <w:color w:val="000000" w:themeColor="text1"/>
          <w:kern w:val="0"/>
          <w:sz w:val="24"/>
          <w:szCs w:val="24"/>
          <w14:textFill>
            <w14:solidFill>
              <w14:schemeClr w14:val="tx1"/>
            </w14:solidFill>
          </w14:textFill>
        </w:rPr>
        <w:t>，其主要原因系报告期公司预收房屋租赁款增加所致；</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2"/>
        <w:jc w:val="left"/>
        <w:textAlignment w:val="auto"/>
        <w:rPr>
          <w:rFonts w:hint="default" w:ascii="Times New Roman" w:hAnsi="Times New Roman" w:eastAsia="宋体" w:cs="Times New Roman"/>
          <w:color w:val="000000" w:themeColor="text1"/>
          <w:kern w:val="0"/>
          <w:sz w:val="24"/>
          <w:szCs w:val="24"/>
          <w14:textFill>
            <w14:solidFill>
              <w14:schemeClr w14:val="tx1"/>
            </w14:solidFill>
          </w14:textFill>
        </w:rPr>
      </w:pPr>
      <w:r>
        <w:rPr>
          <w:rFonts w:hint="eastAsia" w:ascii="Times New Roman" w:hAnsi="Times New Roman" w:eastAsia="宋体" w:cs="Times New Roman"/>
          <w:color w:val="000000" w:themeColor="text1"/>
          <w:kern w:val="0"/>
          <w:sz w:val="24"/>
          <w:szCs w:val="24"/>
          <w14:textFill>
            <w14:solidFill>
              <w14:schemeClr w14:val="tx1"/>
            </w14:solidFill>
          </w14:textFill>
        </w:rPr>
        <w:t>（</w:t>
      </w:r>
      <w:r>
        <w:rPr>
          <w:rFonts w:hint="default" w:ascii="Times New Roman" w:hAnsi="Times New Roman" w:eastAsia="宋体" w:cs="Times New Roman"/>
          <w:color w:val="000000" w:themeColor="text1"/>
          <w:kern w:val="0"/>
          <w:sz w:val="24"/>
          <w:szCs w:val="24"/>
          <w14:textFill>
            <w14:solidFill>
              <w14:schemeClr w14:val="tx1"/>
            </w14:solidFill>
          </w14:textFill>
        </w:rPr>
        <w:t>8</w:t>
      </w:r>
      <w:r>
        <w:rPr>
          <w:rFonts w:hint="eastAsia" w:ascii="Times New Roman" w:hAnsi="Times New Roman" w:eastAsia="宋体" w:cs="Times New Roman"/>
          <w:color w:val="000000" w:themeColor="text1"/>
          <w:kern w:val="0"/>
          <w:sz w:val="24"/>
          <w:szCs w:val="24"/>
          <w14:textFill>
            <w14:solidFill>
              <w14:schemeClr w14:val="tx1"/>
            </w14:solidFill>
          </w14:textFill>
        </w:rPr>
        <w:t>）合同负债</w:t>
      </w:r>
      <w:r>
        <w:rPr>
          <w:rFonts w:hint="default" w:ascii="Times New Roman" w:hAnsi="Times New Roman" w:eastAsia="宋体" w:cs="Times New Roman"/>
          <w:color w:val="000000" w:themeColor="text1"/>
          <w:kern w:val="0"/>
          <w:sz w:val="24"/>
          <w:szCs w:val="24"/>
          <w14:textFill>
            <w14:solidFill>
              <w14:schemeClr w14:val="tx1"/>
            </w14:solidFill>
          </w14:textFill>
        </w:rPr>
        <w:t>2023</w:t>
      </w:r>
      <w:r>
        <w:rPr>
          <w:rFonts w:hint="eastAsia" w:ascii="Times New Roman" w:hAnsi="Times New Roman" w:eastAsia="宋体" w:cs="Times New Roman"/>
          <w:color w:val="000000" w:themeColor="text1"/>
          <w:kern w:val="0"/>
          <w:sz w:val="24"/>
          <w:szCs w:val="24"/>
          <w14:textFill>
            <w14:solidFill>
              <w14:schemeClr w14:val="tx1"/>
            </w14:solidFill>
          </w14:textFill>
        </w:rPr>
        <w:t>年</w:t>
      </w:r>
      <w:r>
        <w:rPr>
          <w:rFonts w:hint="default" w:ascii="Times New Roman" w:hAnsi="Times New Roman" w:eastAsia="宋体" w:cs="Times New Roman"/>
          <w:color w:val="000000" w:themeColor="text1"/>
          <w:kern w:val="0"/>
          <w:sz w:val="24"/>
          <w:szCs w:val="24"/>
          <w14:textFill>
            <w14:solidFill>
              <w14:schemeClr w14:val="tx1"/>
            </w14:solidFill>
          </w14:textFill>
        </w:rPr>
        <w:t>9</w:t>
      </w:r>
      <w:r>
        <w:rPr>
          <w:rFonts w:hint="eastAsia" w:ascii="Times New Roman" w:hAnsi="Times New Roman" w:eastAsia="宋体" w:cs="Times New Roman"/>
          <w:color w:val="000000" w:themeColor="text1"/>
          <w:kern w:val="0"/>
          <w:sz w:val="24"/>
          <w:szCs w:val="24"/>
          <w14:textFill>
            <w14:solidFill>
              <w14:schemeClr w14:val="tx1"/>
            </w14:solidFill>
          </w14:textFill>
        </w:rPr>
        <w:t>月</w:t>
      </w:r>
      <w:r>
        <w:rPr>
          <w:rFonts w:hint="default" w:ascii="Times New Roman" w:hAnsi="Times New Roman" w:eastAsia="宋体" w:cs="Times New Roman"/>
          <w:color w:val="000000" w:themeColor="text1"/>
          <w:kern w:val="0"/>
          <w:sz w:val="24"/>
          <w:szCs w:val="24"/>
          <w14:textFill>
            <w14:solidFill>
              <w14:schemeClr w14:val="tx1"/>
            </w14:solidFill>
          </w14:textFill>
        </w:rPr>
        <w:t>30</w:t>
      </w:r>
      <w:r>
        <w:rPr>
          <w:rFonts w:hint="eastAsia" w:ascii="Times New Roman" w:hAnsi="Times New Roman" w:eastAsia="宋体" w:cs="Times New Roman"/>
          <w:color w:val="000000" w:themeColor="text1"/>
          <w:kern w:val="0"/>
          <w:sz w:val="24"/>
          <w:szCs w:val="24"/>
          <w14:textFill>
            <w14:solidFill>
              <w14:schemeClr w14:val="tx1"/>
            </w14:solidFill>
          </w14:textFill>
        </w:rPr>
        <w:t>日期末数为</w:t>
      </w:r>
      <w:r>
        <w:rPr>
          <w:rFonts w:hint="default" w:ascii="Times New Roman" w:hAnsi="Times New Roman" w:eastAsia="宋体" w:cs="Times New Roman"/>
          <w:color w:val="000000" w:themeColor="text1"/>
          <w:kern w:val="0"/>
          <w:sz w:val="24"/>
          <w:szCs w:val="24"/>
          <w14:textFill>
            <w14:solidFill>
              <w14:schemeClr w14:val="tx1"/>
            </w14:solidFill>
          </w14:textFill>
        </w:rPr>
        <w:t>84,548,394.52</w:t>
      </w:r>
      <w:r>
        <w:rPr>
          <w:rFonts w:hint="eastAsia" w:ascii="Times New Roman" w:hAnsi="Times New Roman" w:eastAsia="宋体" w:cs="Times New Roman"/>
          <w:color w:val="000000" w:themeColor="text1"/>
          <w:kern w:val="0"/>
          <w:sz w:val="24"/>
          <w:szCs w:val="24"/>
          <w14:textFill>
            <w14:solidFill>
              <w14:schemeClr w14:val="tx1"/>
            </w14:solidFill>
          </w14:textFill>
        </w:rPr>
        <w:t>元，比期初数增加</w:t>
      </w:r>
      <w:r>
        <w:rPr>
          <w:rFonts w:hint="default" w:ascii="Times New Roman" w:hAnsi="Times New Roman" w:eastAsia="宋体" w:cs="Times New Roman"/>
          <w:color w:val="000000" w:themeColor="text1"/>
          <w:kern w:val="0"/>
          <w:sz w:val="24"/>
          <w:szCs w:val="24"/>
          <w14:textFill>
            <w14:solidFill>
              <w14:schemeClr w14:val="tx1"/>
            </w14:solidFill>
          </w14:textFill>
        </w:rPr>
        <w:t>81.69%</w:t>
      </w:r>
      <w:r>
        <w:rPr>
          <w:rFonts w:hint="eastAsia" w:ascii="Times New Roman" w:hAnsi="Times New Roman" w:eastAsia="宋体" w:cs="Times New Roman"/>
          <w:color w:val="000000" w:themeColor="text1"/>
          <w:kern w:val="0"/>
          <w:sz w:val="24"/>
          <w:szCs w:val="24"/>
          <w14:textFill>
            <w14:solidFill>
              <w14:schemeClr w14:val="tx1"/>
            </w14:solidFill>
          </w14:textFill>
        </w:rPr>
        <w:t>，其主要原因系报告期公司预收热费余额增加所致；</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2"/>
        <w:jc w:val="left"/>
        <w:textAlignment w:val="auto"/>
        <w:rPr>
          <w:rFonts w:hint="default" w:ascii="Times New Roman" w:hAnsi="Times New Roman" w:eastAsia="宋体" w:cs="Times New Roman"/>
          <w:color w:val="000000" w:themeColor="text1"/>
          <w:kern w:val="0"/>
          <w:sz w:val="24"/>
          <w:szCs w:val="24"/>
          <w14:textFill>
            <w14:solidFill>
              <w14:schemeClr w14:val="tx1"/>
            </w14:solidFill>
          </w14:textFill>
        </w:rPr>
      </w:pPr>
      <w:r>
        <w:rPr>
          <w:rFonts w:hint="eastAsia" w:ascii="Times New Roman" w:hAnsi="Times New Roman" w:eastAsia="宋体" w:cs="Times New Roman"/>
          <w:color w:val="000000" w:themeColor="text1"/>
          <w:kern w:val="0"/>
          <w:sz w:val="24"/>
          <w:szCs w:val="24"/>
          <w14:textFill>
            <w14:solidFill>
              <w14:schemeClr w14:val="tx1"/>
            </w14:solidFill>
          </w14:textFill>
        </w:rPr>
        <w:t>（</w:t>
      </w:r>
      <w:r>
        <w:rPr>
          <w:rFonts w:hint="default" w:ascii="Times New Roman" w:hAnsi="Times New Roman" w:eastAsia="宋体" w:cs="Times New Roman"/>
          <w:color w:val="000000" w:themeColor="text1"/>
          <w:kern w:val="0"/>
          <w:sz w:val="24"/>
          <w:szCs w:val="24"/>
          <w14:textFill>
            <w14:solidFill>
              <w14:schemeClr w14:val="tx1"/>
            </w14:solidFill>
          </w14:textFill>
        </w:rPr>
        <w:t>9</w:t>
      </w:r>
      <w:r>
        <w:rPr>
          <w:rFonts w:hint="eastAsia" w:ascii="Times New Roman" w:hAnsi="Times New Roman" w:eastAsia="宋体" w:cs="Times New Roman"/>
          <w:color w:val="000000" w:themeColor="text1"/>
          <w:kern w:val="0"/>
          <w:sz w:val="24"/>
          <w:szCs w:val="24"/>
          <w14:textFill>
            <w14:solidFill>
              <w14:schemeClr w14:val="tx1"/>
            </w14:solidFill>
          </w14:textFill>
        </w:rPr>
        <w:t>）其他流动负债</w:t>
      </w:r>
      <w:r>
        <w:rPr>
          <w:rFonts w:hint="default" w:ascii="Times New Roman" w:hAnsi="Times New Roman" w:eastAsia="宋体" w:cs="Times New Roman"/>
          <w:color w:val="000000" w:themeColor="text1"/>
          <w:kern w:val="0"/>
          <w:sz w:val="24"/>
          <w:szCs w:val="24"/>
          <w14:textFill>
            <w14:solidFill>
              <w14:schemeClr w14:val="tx1"/>
            </w14:solidFill>
          </w14:textFill>
        </w:rPr>
        <w:t>2023</w:t>
      </w:r>
      <w:r>
        <w:rPr>
          <w:rFonts w:hint="eastAsia" w:ascii="Times New Roman" w:hAnsi="Times New Roman" w:eastAsia="宋体" w:cs="Times New Roman"/>
          <w:color w:val="000000" w:themeColor="text1"/>
          <w:kern w:val="0"/>
          <w:sz w:val="24"/>
          <w:szCs w:val="24"/>
          <w14:textFill>
            <w14:solidFill>
              <w14:schemeClr w14:val="tx1"/>
            </w14:solidFill>
          </w14:textFill>
        </w:rPr>
        <w:t>年</w:t>
      </w:r>
      <w:r>
        <w:rPr>
          <w:rFonts w:hint="default" w:ascii="Times New Roman" w:hAnsi="Times New Roman" w:eastAsia="宋体" w:cs="Times New Roman"/>
          <w:color w:val="000000" w:themeColor="text1"/>
          <w:kern w:val="0"/>
          <w:sz w:val="24"/>
          <w:szCs w:val="24"/>
          <w14:textFill>
            <w14:solidFill>
              <w14:schemeClr w14:val="tx1"/>
            </w14:solidFill>
          </w14:textFill>
        </w:rPr>
        <w:t>9</w:t>
      </w:r>
      <w:r>
        <w:rPr>
          <w:rFonts w:hint="eastAsia" w:ascii="Times New Roman" w:hAnsi="Times New Roman" w:eastAsia="宋体" w:cs="Times New Roman"/>
          <w:color w:val="000000" w:themeColor="text1"/>
          <w:kern w:val="0"/>
          <w:sz w:val="24"/>
          <w:szCs w:val="24"/>
          <w14:textFill>
            <w14:solidFill>
              <w14:schemeClr w14:val="tx1"/>
            </w14:solidFill>
          </w14:textFill>
        </w:rPr>
        <w:t>月</w:t>
      </w:r>
      <w:r>
        <w:rPr>
          <w:rFonts w:hint="default" w:ascii="Times New Roman" w:hAnsi="Times New Roman" w:eastAsia="宋体" w:cs="Times New Roman"/>
          <w:color w:val="000000" w:themeColor="text1"/>
          <w:kern w:val="0"/>
          <w:sz w:val="24"/>
          <w:szCs w:val="24"/>
          <w14:textFill>
            <w14:solidFill>
              <w14:schemeClr w14:val="tx1"/>
            </w14:solidFill>
          </w14:textFill>
        </w:rPr>
        <w:t>30</w:t>
      </w:r>
      <w:r>
        <w:rPr>
          <w:rFonts w:hint="eastAsia" w:ascii="Times New Roman" w:hAnsi="Times New Roman" w:eastAsia="宋体" w:cs="Times New Roman"/>
          <w:color w:val="000000" w:themeColor="text1"/>
          <w:kern w:val="0"/>
          <w:sz w:val="24"/>
          <w:szCs w:val="24"/>
          <w14:textFill>
            <w14:solidFill>
              <w14:schemeClr w14:val="tx1"/>
            </w14:solidFill>
          </w14:textFill>
        </w:rPr>
        <w:t>日期末数为</w:t>
      </w:r>
      <w:r>
        <w:rPr>
          <w:rFonts w:hint="default" w:ascii="Times New Roman" w:hAnsi="Times New Roman" w:eastAsia="宋体" w:cs="Times New Roman"/>
          <w:color w:val="000000" w:themeColor="text1"/>
          <w:kern w:val="0"/>
          <w:sz w:val="24"/>
          <w:szCs w:val="24"/>
          <w14:textFill>
            <w14:solidFill>
              <w14:schemeClr w14:val="tx1"/>
            </w14:solidFill>
          </w14:textFill>
        </w:rPr>
        <w:t>8,306,455.03</w:t>
      </w:r>
      <w:r>
        <w:rPr>
          <w:rFonts w:hint="eastAsia" w:ascii="Times New Roman" w:hAnsi="Times New Roman" w:eastAsia="宋体" w:cs="Times New Roman"/>
          <w:color w:val="000000" w:themeColor="text1"/>
          <w:kern w:val="0"/>
          <w:sz w:val="24"/>
          <w:szCs w:val="24"/>
          <w14:textFill>
            <w14:solidFill>
              <w14:schemeClr w14:val="tx1"/>
            </w14:solidFill>
          </w14:textFill>
        </w:rPr>
        <w:t>元，比期初数增加</w:t>
      </w:r>
      <w:r>
        <w:rPr>
          <w:rFonts w:hint="default" w:ascii="Times New Roman" w:hAnsi="Times New Roman" w:eastAsia="宋体" w:cs="Times New Roman"/>
          <w:color w:val="000000" w:themeColor="text1"/>
          <w:kern w:val="0"/>
          <w:sz w:val="24"/>
          <w:szCs w:val="24"/>
          <w14:textFill>
            <w14:solidFill>
              <w14:schemeClr w14:val="tx1"/>
            </w14:solidFill>
          </w14:textFill>
        </w:rPr>
        <w:t>75.90%</w:t>
      </w:r>
      <w:r>
        <w:rPr>
          <w:rFonts w:hint="eastAsia" w:ascii="Times New Roman" w:hAnsi="Times New Roman" w:eastAsia="宋体" w:cs="Times New Roman"/>
          <w:color w:val="000000" w:themeColor="text1"/>
          <w:kern w:val="0"/>
          <w:sz w:val="24"/>
          <w:szCs w:val="24"/>
          <w14:textFill>
            <w14:solidFill>
              <w14:schemeClr w14:val="tx1"/>
            </w14:solidFill>
          </w14:textFill>
        </w:rPr>
        <w:t>，其主要原因系报告期公司预收热费余额增加导致相关税费增加所致；</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2"/>
        <w:jc w:val="left"/>
        <w:textAlignment w:val="auto"/>
        <w:rPr>
          <w:rFonts w:hint="default" w:ascii="Times New Roman" w:hAnsi="Times New Roman" w:eastAsia="宋体" w:cs="Times New Roman"/>
          <w:color w:val="000000" w:themeColor="text1"/>
          <w:kern w:val="0"/>
          <w:sz w:val="24"/>
          <w:szCs w:val="24"/>
          <w14:textFill>
            <w14:solidFill>
              <w14:schemeClr w14:val="tx1"/>
            </w14:solidFill>
          </w14:textFill>
        </w:rPr>
      </w:pPr>
      <w:r>
        <w:rPr>
          <w:rFonts w:hint="eastAsia" w:ascii="Times New Roman" w:hAnsi="Times New Roman" w:eastAsia="宋体" w:cs="Times New Roman"/>
          <w:color w:val="000000" w:themeColor="text1"/>
          <w:kern w:val="0"/>
          <w:sz w:val="24"/>
          <w:szCs w:val="24"/>
          <w14:textFill>
            <w14:solidFill>
              <w14:schemeClr w14:val="tx1"/>
            </w14:solidFill>
          </w14:textFill>
        </w:rPr>
        <w:t>（</w:t>
      </w:r>
      <w:r>
        <w:rPr>
          <w:rFonts w:hint="default" w:ascii="Times New Roman" w:hAnsi="Times New Roman" w:eastAsia="宋体" w:cs="Times New Roman"/>
          <w:color w:val="000000" w:themeColor="text1"/>
          <w:kern w:val="0"/>
          <w:sz w:val="24"/>
          <w:szCs w:val="24"/>
          <w14:textFill>
            <w14:solidFill>
              <w14:schemeClr w14:val="tx1"/>
            </w14:solidFill>
          </w14:textFill>
        </w:rPr>
        <w:t>10</w:t>
      </w:r>
      <w:r>
        <w:rPr>
          <w:rFonts w:hint="eastAsia" w:ascii="Times New Roman" w:hAnsi="Times New Roman" w:eastAsia="宋体" w:cs="Times New Roman"/>
          <w:color w:val="000000" w:themeColor="text1"/>
          <w:kern w:val="0"/>
          <w:sz w:val="24"/>
          <w:szCs w:val="24"/>
          <w14:textFill>
            <w14:solidFill>
              <w14:schemeClr w14:val="tx1"/>
            </w14:solidFill>
          </w14:textFill>
        </w:rPr>
        <w:t>）长期借款</w:t>
      </w:r>
      <w:r>
        <w:rPr>
          <w:rFonts w:hint="default" w:ascii="Times New Roman" w:hAnsi="Times New Roman" w:eastAsia="宋体" w:cs="Times New Roman"/>
          <w:color w:val="000000" w:themeColor="text1"/>
          <w:kern w:val="0"/>
          <w:sz w:val="24"/>
          <w:szCs w:val="24"/>
          <w14:textFill>
            <w14:solidFill>
              <w14:schemeClr w14:val="tx1"/>
            </w14:solidFill>
          </w14:textFill>
        </w:rPr>
        <w:t>2023</w:t>
      </w:r>
      <w:r>
        <w:rPr>
          <w:rFonts w:hint="eastAsia" w:ascii="Times New Roman" w:hAnsi="Times New Roman" w:eastAsia="宋体" w:cs="Times New Roman"/>
          <w:color w:val="000000" w:themeColor="text1"/>
          <w:kern w:val="0"/>
          <w:sz w:val="24"/>
          <w:szCs w:val="24"/>
          <w14:textFill>
            <w14:solidFill>
              <w14:schemeClr w14:val="tx1"/>
            </w14:solidFill>
          </w14:textFill>
        </w:rPr>
        <w:t>年</w:t>
      </w:r>
      <w:r>
        <w:rPr>
          <w:rFonts w:hint="default" w:ascii="Times New Roman" w:hAnsi="Times New Roman" w:eastAsia="宋体" w:cs="Times New Roman"/>
          <w:color w:val="000000" w:themeColor="text1"/>
          <w:kern w:val="0"/>
          <w:sz w:val="24"/>
          <w:szCs w:val="24"/>
          <w14:textFill>
            <w14:solidFill>
              <w14:schemeClr w14:val="tx1"/>
            </w14:solidFill>
          </w14:textFill>
        </w:rPr>
        <w:t>9</w:t>
      </w:r>
      <w:r>
        <w:rPr>
          <w:rFonts w:hint="eastAsia" w:ascii="Times New Roman" w:hAnsi="Times New Roman" w:eastAsia="宋体" w:cs="Times New Roman"/>
          <w:color w:val="000000" w:themeColor="text1"/>
          <w:kern w:val="0"/>
          <w:sz w:val="24"/>
          <w:szCs w:val="24"/>
          <w14:textFill>
            <w14:solidFill>
              <w14:schemeClr w14:val="tx1"/>
            </w14:solidFill>
          </w14:textFill>
        </w:rPr>
        <w:t>月</w:t>
      </w:r>
      <w:r>
        <w:rPr>
          <w:rFonts w:hint="default" w:ascii="Times New Roman" w:hAnsi="Times New Roman" w:eastAsia="宋体" w:cs="Times New Roman"/>
          <w:color w:val="000000" w:themeColor="text1"/>
          <w:kern w:val="0"/>
          <w:sz w:val="24"/>
          <w:szCs w:val="24"/>
          <w14:textFill>
            <w14:solidFill>
              <w14:schemeClr w14:val="tx1"/>
            </w14:solidFill>
          </w14:textFill>
        </w:rPr>
        <w:t>30</w:t>
      </w:r>
      <w:r>
        <w:rPr>
          <w:rFonts w:hint="eastAsia" w:ascii="Times New Roman" w:hAnsi="Times New Roman" w:eastAsia="宋体" w:cs="Times New Roman"/>
          <w:color w:val="000000" w:themeColor="text1"/>
          <w:kern w:val="0"/>
          <w:sz w:val="24"/>
          <w:szCs w:val="24"/>
          <w14:textFill>
            <w14:solidFill>
              <w14:schemeClr w14:val="tx1"/>
            </w14:solidFill>
          </w14:textFill>
        </w:rPr>
        <w:t>日期末数为</w:t>
      </w:r>
      <w:r>
        <w:rPr>
          <w:rFonts w:hint="default" w:ascii="Times New Roman" w:hAnsi="Times New Roman" w:eastAsia="宋体" w:cs="Times New Roman"/>
          <w:color w:val="000000" w:themeColor="text1"/>
          <w:kern w:val="0"/>
          <w:sz w:val="24"/>
          <w:szCs w:val="24"/>
          <w14:textFill>
            <w14:solidFill>
              <w14:schemeClr w14:val="tx1"/>
            </w14:solidFill>
          </w14:textFill>
        </w:rPr>
        <w:t>13,675,676,979.80</w:t>
      </w:r>
      <w:r>
        <w:rPr>
          <w:rFonts w:hint="eastAsia" w:ascii="Times New Roman" w:hAnsi="Times New Roman" w:eastAsia="宋体" w:cs="Times New Roman"/>
          <w:color w:val="000000" w:themeColor="text1"/>
          <w:kern w:val="0"/>
          <w:sz w:val="24"/>
          <w:szCs w:val="24"/>
          <w14:textFill>
            <w14:solidFill>
              <w14:schemeClr w14:val="tx1"/>
            </w14:solidFill>
          </w14:textFill>
        </w:rPr>
        <w:t>元，比期初数增加</w:t>
      </w:r>
      <w:r>
        <w:rPr>
          <w:rFonts w:hint="default" w:ascii="Times New Roman" w:hAnsi="Times New Roman" w:eastAsia="宋体" w:cs="Times New Roman"/>
          <w:color w:val="000000" w:themeColor="text1"/>
          <w:kern w:val="0"/>
          <w:sz w:val="24"/>
          <w:szCs w:val="24"/>
          <w14:textFill>
            <w14:solidFill>
              <w14:schemeClr w14:val="tx1"/>
            </w14:solidFill>
          </w14:textFill>
        </w:rPr>
        <w:t>42.06%</w:t>
      </w:r>
      <w:r>
        <w:rPr>
          <w:rFonts w:hint="eastAsia" w:ascii="Times New Roman" w:hAnsi="Times New Roman" w:eastAsia="宋体" w:cs="Times New Roman"/>
          <w:color w:val="000000" w:themeColor="text1"/>
          <w:kern w:val="0"/>
          <w:sz w:val="24"/>
          <w:szCs w:val="24"/>
          <w14:textFill>
            <w14:solidFill>
              <w14:schemeClr w14:val="tx1"/>
            </w14:solidFill>
          </w14:textFill>
        </w:rPr>
        <w:t>，其主要原因系报告期公司基建项目长期借款增加所致；</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2"/>
        <w:jc w:val="left"/>
        <w:textAlignment w:val="auto"/>
        <w:rPr>
          <w:rFonts w:hint="default" w:ascii="Times New Roman" w:hAnsi="Times New Roman" w:eastAsia="宋体" w:cs="Times New Roman"/>
          <w:color w:val="000000" w:themeColor="text1"/>
          <w:kern w:val="0"/>
          <w:sz w:val="24"/>
          <w:szCs w:val="24"/>
          <w14:textFill>
            <w14:solidFill>
              <w14:schemeClr w14:val="tx1"/>
            </w14:solidFill>
          </w14:textFill>
        </w:rPr>
      </w:pPr>
      <w:r>
        <w:rPr>
          <w:rFonts w:hint="eastAsia" w:ascii="Times New Roman" w:hAnsi="Times New Roman" w:eastAsia="宋体" w:cs="Times New Roman"/>
          <w:color w:val="000000" w:themeColor="text1"/>
          <w:kern w:val="0"/>
          <w:sz w:val="24"/>
          <w:szCs w:val="24"/>
          <w14:textFill>
            <w14:solidFill>
              <w14:schemeClr w14:val="tx1"/>
            </w14:solidFill>
          </w14:textFill>
        </w:rPr>
        <w:t>（</w:t>
      </w:r>
      <w:r>
        <w:rPr>
          <w:rFonts w:hint="default" w:ascii="Times New Roman" w:hAnsi="Times New Roman" w:eastAsia="宋体" w:cs="Times New Roman"/>
          <w:color w:val="000000" w:themeColor="text1"/>
          <w:kern w:val="0"/>
          <w:sz w:val="24"/>
          <w:szCs w:val="24"/>
          <w14:textFill>
            <w14:solidFill>
              <w14:schemeClr w14:val="tx1"/>
            </w14:solidFill>
          </w14:textFill>
        </w:rPr>
        <w:t>11</w:t>
      </w:r>
      <w:r>
        <w:rPr>
          <w:rFonts w:hint="eastAsia" w:ascii="Times New Roman" w:hAnsi="Times New Roman" w:eastAsia="宋体" w:cs="Times New Roman"/>
          <w:color w:val="000000" w:themeColor="text1"/>
          <w:kern w:val="0"/>
          <w:sz w:val="24"/>
          <w:szCs w:val="24"/>
          <w14:textFill>
            <w14:solidFill>
              <w14:schemeClr w14:val="tx1"/>
            </w14:solidFill>
          </w14:textFill>
        </w:rPr>
        <w:t>）租赁负债</w:t>
      </w:r>
      <w:r>
        <w:rPr>
          <w:rFonts w:hint="default" w:ascii="Times New Roman" w:hAnsi="Times New Roman" w:eastAsia="宋体" w:cs="Times New Roman"/>
          <w:color w:val="000000" w:themeColor="text1"/>
          <w:kern w:val="0"/>
          <w:sz w:val="24"/>
          <w:szCs w:val="24"/>
          <w14:textFill>
            <w14:solidFill>
              <w14:schemeClr w14:val="tx1"/>
            </w14:solidFill>
          </w14:textFill>
        </w:rPr>
        <w:t>2023</w:t>
      </w:r>
      <w:r>
        <w:rPr>
          <w:rFonts w:hint="eastAsia" w:ascii="Times New Roman" w:hAnsi="Times New Roman" w:eastAsia="宋体" w:cs="Times New Roman"/>
          <w:color w:val="000000" w:themeColor="text1"/>
          <w:kern w:val="0"/>
          <w:sz w:val="24"/>
          <w:szCs w:val="24"/>
          <w14:textFill>
            <w14:solidFill>
              <w14:schemeClr w14:val="tx1"/>
            </w14:solidFill>
          </w14:textFill>
        </w:rPr>
        <w:t>年</w:t>
      </w:r>
      <w:r>
        <w:rPr>
          <w:rFonts w:hint="default" w:ascii="Times New Roman" w:hAnsi="Times New Roman" w:eastAsia="宋体" w:cs="Times New Roman"/>
          <w:color w:val="000000" w:themeColor="text1"/>
          <w:kern w:val="0"/>
          <w:sz w:val="24"/>
          <w:szCs w:val="24"/>
          <w14:textFill>
            <w14:solidFill>
              <w14:schemeClr w14:val="tx1"/>
            </w14:solidFill>
          </w14:textFill>
        </w:rPr>
        <w:t>9</w:t>
      </w:r>
      <w:r>
        <w:rPr>
          <w:rFonts w:hint="eastAsia" w:ascii="Times New Roman" w:hAnsi="Times New Roman" w:eastAsia="宋体" w:cs="Times New Roman"/>
          <w:color w:val="000000" w:themeColor="text1"/>
          <w:kern w:val="0"/>
          <w:sz w:val="24"/>
          <w:szCs w:val="24"/>
          <w14:textFill>
            <w14:solidFill>
              <w14:schemeClr w14:val="tx1"/>
            </w14:solidFill>
          </w14:textFill>
        </w:rPr>
        <w:t>月</w:t>
      </w:r>
      <w:r>
        <w:rPr>
          <w:rFonts w:hint="default" w:ascii="Times New Roman" w:hAnsi="Times New Roman" w:eastAsia="宋体" w:cs="Times New Roman"/>
          <w:color w:val="000000" w:themeColor="text1"/>
          <w:kern w:val="0"/>
          <w:sz w:val="24"/>
          <w:szCs w:val="24"/>
          <w14:textFill>
            <w14:solidFill>
              <w14:schemeClr w14:val="tx1"/>
            </w14:solidFill>
          </w14:textFill>
        </w:rPr>
        <w:t>30</w:t>
      </w:r>
      <w:r>
        <w:rPr>
          <w:rFonts w:hint="eastAsia" w:ascii="Times New Roman" w:hAnsi="Times New Roman" w:eastAsia="宋体" w:cs="Times New Roman"/>
          <w:color w:val="000000" w:themeColor="text1"/>
          <w:kern w:val="0"/>
          <w:sz w:val="24"/>
          <w:szCs w:val="24"/>
          <w14:textFill>
            <w14:solidFill>
              <w14:schemeClr w14:val="tx1"/>
            </w14:solidFill>
          </w14:textFill>
        </w:rPr>
        <w:t>日期末数为</w:t>
      </w:r>
      <w:r>
        <w:rPr>
          <w:rFonts w:hint="default" w:ascii="Times New Roman" w:hAnsi="Times New Roman" w:eastAsia="宋体" w:cs="Times New Roman"/>
          <w:color w:val="000000" w:themeColor="text1"/>
          <w:kern w:val="0"/>
          <w:sz w:val="24"/>
          <w:szCs w:val="24"/>
          <w14:textFill>
            <w14:solidFill>
              <w14:schemeClr w14:val="tx1"/>
            </w14:solidFill>
          </w14:textFill>
        </w:rPr>
        <w:t>411,897,501.06</w:t>
      </w:r>
      <w:r>
        <w:rPr>
          <w:rFonts w:hint="eastAsia" w:ascii="Times New Roman" w:hAnsi="Times New Roman" w:eastAsia="宋体" w:cs="Times New Roman"/>
          <w:color w:val="000000" w:themeColor="text1"/>
          <w:kern w:val="0"/>
          <w:sz w:val="24"/>
          <w:szCs w:val="24"/>
          <w14:textFill>
            <w14:solidFill>
              <w14:schemeClr w14:val="tx1"/>
            </w14:solidFill>
          </w14:textFill>
        </w:rPr>
        <w:t>元，比期初数增加</w:t>
      </w:r>
      <w:r>
        <w:rPr>
          <w:rFonts w:hint="default" w:ascii="Times New Roman" w:hAnsi="Times New Roman" w:eastAsia="宋体" w:cs="Times New Roman"/>
          <w:color w:val="000000" w:themeColor="text1"/>
          <w:kern w:val="0"/>
          <w:sz w:val="24"/>
          <w:szCs w:val="24"/>
          <w14:textFill>
            <w14:solidFill>
              <w14:schemeClr w14:val="tx1"/>
            </w14:solidFill>
          </w14:textFill>
        </w:rPr>
        <w:t>35.42%</w:t>
      </w:r>
      <w:r>
        <w:rPr>
          <w:rFonts w:hint="eastAsia" w:ascii="Times New Roman" w:hAnsi="Times New Roman" w:eastAsia="宋体" w:cs="Times New Roman"/>
          <w:color w:val="000000" w:themeColor="text1"/>
          <w:kern w:val="0"/>
          <w:sz w:val="24"/>
          <w:szCs w:val="24"/>
          <w14:textFill>
            <w14:solidFill>
              <w14:schemeClr w14:val="tx1"/>
            </w14:solidFill>
          </w14:textFill>
        </w:rPr>
        <w:t>，其主要原因系报告期公司所属单位租赁土地及房屋增加所致；</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2"/>
        <w:jc w:val="left"/>
        <w:textAlignment w:val="auto"/>
        <w:rPr>
          <w:rFonts w:hint="default" w:ascii="Times New Roman" w:hAnsi="Times New Roman" w:eastAsia="宋体" w:cs="Times New Roman"/>
          <w:color w:val="000000" w:themeColor="text1"/>
          <w:kern w:val="0"/>
          <w:sz w:val="24"/>
          <w:szCs w:val="24"/>
          <w14:textFill>
            <w14:solidFill>
              <w14:schemeClr w14:val="tx1"/>
            </w14:solidFill>
          </w14:textFill>
        </w:rPr>
      </w:pPr>
      <w:r>
        <w:rPr>
          <w:rFonts w:hint="eastAsia" w:ascii="Times New Roman" w:hAnsi="Times New Roman" w:eastAsia="宋体" w:cs="Times New Roman"/>
          <w:color w:val="000000" w:themeColor="text1"/>
          <w:kern w:val="0"/>
          <w:sz w:val="24"/>
          <w:szCs w:val="24"/>
          <w14:textFill>
            <w14:solidFill>
              <w14:schemeClr w14:val="tx1"/>
            </w14:solidFill>
          </w14:textFill>
        </w:rPr>
        <w:t>（</w:t>
      </w:r>
      <w:r>
        <w:rPr>
          <w:rFonts w:hint="default" w:ascii="Times New Roman" w:hAnsi="Times New Roman" w:eastAsia="宋体" w:cs="Times New Roman"/>
          <w:color w:val="000000" w:themeColor="text1"/>
          <w:kern w:val="0"/>
          <w:sz w:val="24"/>
          <w:szCs w:val="24"/>
          <w14:textFill>
            <w14:solidFill>
              <w14:schemeClr w14:val="tx1"/>
            </w14:solidFill>
          </w14:textFill>
        </w:rPr>
        <w:t>12</w:t>
      </w:r>
      <w:r>
        <w:rPr>
          <w:rFonts w:hint="eastAsia" w:ascii="Times New Roman" w:hAnsi="Times New Roman" w:eastAsia="宋体" w:cs="Times New Roman"/>
          <w:color w:val="000000" w:themeColor="text1"/>
          <w:kern w:val="0"/>
          <w:sz w:val="24"/>
          <w:szCs w:val="24"/>
          <w14:textFill>
            <w14:solidFill>
              <w14:schemeClr w14:val="tx1"/>
            </w14:solidFill>
          </w14:textFill>
        </w:rPr>
        <w:t>）专项储备</w:t>
      </w:r>
      <w:r>
        <w:rPr>
          <w:rFonts w:hint="default" w:ascii="Times New Roman" w:hAnsi="Times New Roman" w:eastAsia="宋体" w:cs="Times New Roman"/>
          <w:color w:val="000000" w:themeColor="text1"/>
          <w:kern w:val="0"/>
          <w:sz w:val="24"/>
          <w:szCs w:val="24"/>
          <w14:textFill>
            <w14:solidFill>
              <w14:schemeClr w14:val="tx1"/>
            </w14:solidFill>
          </w14:textFill>
        </w:rPr>
        <w:t>2023</w:t>
      </w:r>
      <w:r>
        <w:rPr>
          <w:rFonts w:hint="eastAsia" w:ascii="Times New Roman" w:hAnsi="Times New Roman" w:eastAsia="宋体" w:cs="Times New Roman"/>
          <w:color w:val="000000" w:themeColor="text1"/>
          <w:kern w:val="0"/>
          <w:sz w:val="24"/>
          <w:szCs w:val="24"/>
          <w14:textFill>
            <w14:solidFill>
              <w14:schemeClr w14:val="tx1"/>
            </w14:solidFill>
          </w14:textFill>
        </w:rPr>
        <w:t>年</w:t>
      </w:r>
      <w:r>
        <w:rPr>
          <w:rFonts w:hint="default" w:ascii="Times New Roman" w:hAnsi="Times New Roman" w:eastAsia="宋体" w:cs="Times New Roman"/>
          <w:color w:val="000000" w:themeColor="text1"/>
          <w:kern w:val="0"/>
          <w:sz w:val="24"/>
          <w:szCs w:val="24"/>
          <w14:textFill>
            <w14:solidFill>
              <w14:schemeClr w14:val="tx1"/>
            </w14:solidFill>
          </w14:textFill>
        </w:rPr>
        <w:t>9</w:t>
      </w:r>
      <w:r>
        <w:rPr>
          <w:rFonts w:hint="eastAsia" w:ascii="Times New Roman" w:hAnsi="Times New Roman" w:eastAsia="宋体" w:cs="Times New Roman"/>
          <w:color w:val="000000" w:themeColor="text1"/>
          <w:kern w:val="0"/>
          <w:sz w:val="24"/>
          <w:szCs w:val="24"/>
          <w14:textFill>
            <w14:solidFill>
              <w14:schemeClr w14:val="tx1"/>
            </w14:solidFill>
          </w14:textFill>
        </w:rPr>
        <w:t>月</w:t>
      </w:r>
      <w:r>
        <w:rPr>
          <w:rFonts w:hint="default" w:ascii="Times New Roman" w:hAnsi="Times New Roman" w:eastAsia="宋体" w:cs="Times New Roman"/>
          <w:color w:val="000000" w:themeColor="text1"/>
          <w:kern w:val="0"/>
          <w:sz w:val="24"/>
          <w:szCs w:val="24"/>
          <w14:textFill>
            <w14:solidFill>
              <w14:schemeClr w14:val="tx1"/>
            </w14:solidFill>
          </w14:textFill>
        </w:rPr>
        <w:t>30</w:t>
      </w:r>
      <w:r>
        <w:rPr>
          <w:rFonts w:hint="eastAsia" w:ascii="Times New Roman" w:hAnsi="Times New Roman" w:eastAsia="宋体" w:cs="Times New Roman"/>
          <w:color w:val="000000" w:themeColor="text1"/>
          <w:kern w:val="0"/>
          <w:sz w:val="24"/>
          <w:szCs w:val="24"/>
          <w14:textFill>
            <w14:solidFill>
              <w14:schemeClr w14:val="tx1"/>
            </w14:solidFill>
          </w14:textFill>
        </w:rPr>
        <w:t>日期末数为</w:t>
      </w:r>
      <w:r>
        <w:rPr>
          <w:rFonts w:hint="default" w:ascii="Times New Roman" w:hAnsi="Times New Roman" w:eastAsia="宋体" w:cs="Times New Roman"/>
          <w:color w:val="000000" w:themeColor="text1"/>
          <w:kern w:val="0"/>
          <w:sz w:val="24"/>
          <w:szCs w:val="24"/>
          <w14:textFill>
            <w14:solidFill>
              <w14:schemeClr w14:val="tx1"/>
            </w14:solidFill>
          </w14:textFill>
        </w:rPr>
        <w:t>106,295,272.14</w:t>
      </w:r>
      <w:r>
        <w:rPr>
          <w:rFonts w:hint="eastAsia" w:ascii="Times New Roman" w:hAnsi="Times New Roman" w:eastAsia="宋体" w:cs="Times New Roman"/>
          <w:color w:val="000000" w:themeColor="text1"/>
          <w:kern w:val="0"/>
          <w:sz w:val="24"/>
          <w:szCs w:val="24"/>
          <w14:textFill>
            <w14:solidFill>
              <w14:schemeClr w14:val="tx1"/>
            </w14:solidFill>
          </w14:textFill>
        </w:rPr>
        <w:t>元，比期初数增加</w:t>
      </w:r>
      <w:r>
        <w:rPr>
          <w:rFonts w:hint="default" w:ascii="Times New Roman" w:hAnsi="Times New Roman" w:eastAsia="宋体" w:cs="Times New Roman"/>
          <w:color w:val="000000" w:themeColor="text1"/>
          <w:kern w:val="0"/>
          <w:sz w:val="24"/>
          <w:szCs w:val="24"/>
          <w14:textFill>
            <w14:solidFill>
              <w14:schemeClr w14:val="tx1"/>
            </w14:solidFill>
          </w14:textFill>
        </w:rPr>
        <w:t>3117.56%</w:t>
      </w:r>
      <w:r>
        <w:rPr>
          <w:rFonts w:hint="eastAsia" w:ascii="Times New Roman" w:hAnsi="Times New Roman" w:eastAsia="宋体" w:cs="Times New Roman"/>
          <w:color w:val="000000" w:themeColor="text1"/>
          <w:kern w:val="0"/>
          <w:sz w:val="24"/>
          <w:szCs w:val="24"/>
          <w14:textFill>
            <w14:solidFill>
              <w14:schemeClr w14:val="tx1"/>
            </w14:solidFill>
          </w14:textFill>
        </w:rPr>
        <w:t>，其主要原因系报告期公司计提安全生产费增加所致；</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2"/>
        <w:jc w:val="left"/>
        <w:textAlignment w:val="auto"/>
        <w:rPr>
          <w:rFonts w:hint="default" w:ascii="Times New Roman" w:hAnsi="Times New Roman" w:eastAsia="宋体" w:cs="Times New Roman"/>
          <w:color w:val="000000" w:themeColor="text1"/>
          <w:kern w:val="0"/>
          <w:sz w:val="24"/>
          <w:szCs w:val="24"/>
          <w14:textFill>
            <w14:solidFill>
              <w14:schemeClr w14:val="tx1"/>
            </w14:solidFill>
          </w14:textFill>
        </w:rPr>
      </w:pPr>
      <w:r>
        <w:rPr>
          <w:rFonts w:hint="eastAsia" w:ascii="Times New Roman" w:hAnsi="Times New Roman" w:eastAsia="宋体" w:cs="Times New Roman"/>
          <w:color w:val="000000" w:themeColor="text1"/>
          <w:kern w:val="0"/>
          <w:sz w:val="24"/>
          <w:szCs w:val="24"/>
          <w14:textFill>
            <w14:solidFill>
              <w14:schemeClr w14:val="tx1"/>
            </w14:solidFill>
          </w14:textFill>
        </w:rPr>
        <w:t>（</w:t>
      </w:r>
      <w:r>
        <w:rPr>
          <w:rFonts w:hint="default" w:ascii="Times New Roman" w:hAnsi="Times New Roman" w:eastAsia="宋体" w:cs="Times New Roman"/>
          <w:color w:val="000000" w:themeColor="text1"/>
          <w:kern w:val="0"/>
          <w:sz w:val="24"/>
          <w:szCs w:val="24"/>
          <w14:textFill>
            <w14:solidFill>
              <w14:schemeClr w14:val="tx1"/>
            </w14:solidFill>
          </w14:textFill>
        </w:rPr>
        <w:t>13</w:t>
      </w:r>
      <w:r>
        <w:rPr>
          <w:rFonts w:hint="eastAsia" w:ascii="Times New Roman" w:hAnsi="Times New Roman" w:eastAsia="宋体" w:cs="Times New Roman"/>
          <w:color w:val="000000" w:themeColor="text1"/>
          <w:kern w:val="0"/>
          <w:sz w:val="24"/>
          <w:szCs w:val="24"/>
          <w14:textFill>
            <w14:solidFill>
              <w14:schemeClr w14:val="tx1"/>
            </w14:solidFill>
          </w14:textFill>
        </w:rPr>
        <w:t>）少数股东权益</w:t>
      </w:r>
      <w:r>
        <w:rPr>
          <w:rFonts w:hint="default" w:ascii="Times New Roman" w:hAnsi="Times New Roman" w:eastAsia="宋体" w:cs="Times New Roman"/>
          <w:color w:val="000000" w:themeColor="text1"/>
          <w:kern w:val="0"/>
          <w:sz w:val="24"/>
          <w:szCs w:val="24"/>
          <w14:textFill>
            <w14:solidFill>
              <w14:schemeClr w14:val="tx1"/>
            </w14:solidFill>
          </w14:textFill>
        </w:rPr>
        <w:t>2023</w:t>
      </w:r>
      <w:r>
        <w:rPr>
          <w:rFonts w:hint="eastAsia" w:ascii="Times New Roman" w:hAnsi="Times New Roman" w:eastAsia="宋体" w:cs="Times New Roman"/>
          <w:color w:val="000000" w:themeColor="text1"/>
          <w:kern w:val="0"/>
          <w:sz w:val="24"/>
          <w:szCs w:val="24"/>
          <w14:textFill>
            <w14:solidFill>
              <w14:schemeClr w14:val="tx1"/>
            </w14:solidFill>
          </w14:textFill>
        </w:rPr>
        <w:t>年</w:t>
      </w:r>
      <w:r>
        <w:rPr>
          <w:rFonts w:hint="default" w:ascii="Times New Roman" w:hAnsi="Times New Roman" w:eastAsia="宋体" w:cs="Times New Roman"/>
          <w:color w:val="000000" w:themeColor="text1"/>
          <w:kern w:val="0"/>
          <w:sz w:val="24"/>
          <w:szCs w:val="24"/>
          <w14:textFill>
            <w14:solidFill>
              <w14:schemeClr w14:val="tx1"/>
            </w14:solidFill>
          </w14:textFill>
        </w:rPr>
        <w:t>9</w:t>
      </w:r>
      <w:r>
        <w:rPr>
          <w:rFonts w:hint="eastAsia" w:ascii="Times New Roman" w:hAnsi="Times New Roman" w:eastAsia="宋体" w:cs="Times New Roman"/>
          <w:color w:val="000000" w:themeColor="text1"/>
          <w:kern w:val="0"/>
          <w:sz w:val="24"/>
          <w:szCs w:val="24"/>
          <w14:textFill>
            <w14:solidFill>
              <w14:schemeClr w14:val="tx1"/>
            </w14:solidFill>
          </w14:textFill>
        </w:rPr>
        <w:t>月</w:t>
      </w:r>
      <w:r>
        <w:rPr>
          <w:rFonts w:hint="default" w:ascii="Times New Roman" w:hAnsi="Times New Roman" w:eastAsia="宋体" w:cs="Times New Roman"/>
          <w:color w:val="000000" w:themeColor="text1"/>
          <w:kern w:val="0"/>
          <w:sz w:val="24"/>
          <w:szCs w:val="24"/>
          <w14:textFill>
            <w14:solidFill>
              <w14:schemeClr w14:val="tx1"/>
            </w14:solidFill>
          </w14:textFill>
        </w:rPr>
        <w:t>30</w:t>
      </w:r>
      <w:r>
        <w:rPr>
          <w:rFonts w:hint="eastAsia" w:ascii="Times New Roman" w:hAnsi="Times New Roman" w:eastAsia="宋体" w:cs="Times New Roman"/>
          <w:color w:val="000000" w:themeColor="text1"/>
          <w:kern w:val="0"/>
          <w:sz w:val="24"/>
          <w:szCs w:val="24"/>
          <w14:textFill>
            <w14:solidFill>
              <w14:schemeClr w14:val="tx1"/>
            </w14:solidFill>
          </w14:textFill>
        </w:rPr>
        <w:t>日期末数为</w:t>
      </w:r>
      <w:r>
        <w:rPr>
          <w:rFonts w:hint="default" w:ascii="Times New Roman" w:hAnsi="Times New Roman" w:eastAsia="宋体" w:cs="Times New Roman"/>
          <w:color w:val="000000" w:themeColor="text1"/>
          <w:kern w:val="0"/>
          <w:sz w:val="24"/>
          <w:szCs w:val="24"/>
          <w14:textFill>
            <w14:solidFill>
              <w14:schemeClr w14:val="tx1"/>
            </w14:solidFill>
          </w14:textFill>
        </w:rPr>
        <w:t>345,415,453.06</w:t>
      </w:r>
      <w:r>
        <w:rPr>
          <w:rFonts w:hint="eastAsia" w:ascii="Times New Roman" w:hAnsi="Times New Roman" w:eastAsia="宋体" w:cs="Times New Roman"/>
          <w:color w:val="000000" w:themeColor="text1"/>
          <w:kern w:val="0"/>
          <w:sz w:val="24"/>
          <w:szCs w:val="24"/>
          <w14:textFill>
            <w14:solidFill>
              <w14:schemeClr w14:val="tx1"/>
            </w14:solidFill>
          </w14:textFill>
        </w:rPr>
        <w:t>元，比期初数增加</w:t>
      </w:r>
      <w:r>
        <w:rPr>
          <w:rFonts w:hint="default" w:ascii="Times New Roman" w:hAnsi="Times New Roman" w:eastAsia="宋体" w:cs="Times New Roman"/>
          <w:color w:val="000000" w:themeColor="text1"/>
          <w:kern w:val="0"/>
          <w:sz w:val="24"/>
          <w:szCs w:val="24"/>
          <w14:textFill>
            <w14:solidFill>
              <w14:schemeClr w14:val="tx1"/>
            </w14:solidFill>
          </w14:textFill>
        </w:rPr>
        <w:t>33.67%</w:t>
      </w:r>
      <w:r>
        <w:rPr>
          <w:rFonts w:hint="eastAsia" w:ascii="Times New Roman" w:hAnsi="Times New Roman" w:eastAsia="宋体" w:cs="Times New Roman"/>
          <w:color w:val="000000" w:themeColor="text1"/>
          <w:kern w:val="0"/>
          <w:sz w:val="24"/>
          <w:szCs w:val="24"/>
          <w14:textFill>
            <w14:solidFill>
              <w14:schemeClr w14:val="tx1"/>
            </w14:solidFill>
          </w14:textFill>
        </w:rPr>
        <w:t>，其主要原因系报告期公司所属部分光伏公司取得少数股东投资所致。</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2"/>
        <w:jc w:val="left"/>
        <w:textAlignment w:val="auto"/>
        <w:rPr>
          <w:rFonts w:hint="default" w:ascii="Times New Roman" w:hAnsi="Times New Roman" w:eastAsia="宋体" w:cs="Times New Roman"/>
          <w:b/>
          <w:bCs/>
          <w:color w:val="000000" w:themeColor="text1"/>
          <w:kern w:val="0"/>
          <w:sz w:val="24"/>
          <w:szCs w:val="24"/>
          <w14:textFill>
            <w14:solidFill>
              <w14:schemeClr w14:val="tx1"/>
            </w14:solidFill>
          </w14:textFill>
        </w:rPr>
      </w:pPr>
      <w:r>
        <w:rPr>
          <w:rFonts w:hint="default" w:ascii="Times New Roman" w:hAnsi="Times New Roman" w:eastAsia="宋体" w:cs="Times New Roman"/>
          <w:b/>
          <w:bCs/>
          <w:color w:val="000000" w:themeColor="text1"/>
          <w:kern w:val="0"/>
          <w:sz w:val="24"/>
          <w:szCs w:val="24"/>
          <w14:textFill>
            <w14:solidFill>
              <w14:schemeClr w14:val="tx1"/>
            </w14:solidFill>
          </w14:textFill>
        </w:rPr>
        <w:t>2.</w:t>
      </w:r>
      <w:r>
        <w:rPr>
          <w:rFonts w:hint="eastAsia" w:ascii="Times New Roman" w:hAnsi="Times New Roman" w:eastAsia="宋体" w:cs="Times New Roman"/>
          <w:b/>
          <w:bCs/>
          <w:color w:val="000000" w:themeColor="text1"/>
          <w:kern w:val="0"/>
          <w:sz w:val="24"/>
          <w:szCs w:val="24"/>
          <w:lang w:val="en-US" w:eastAsia="zh-CN"/>
          <w14:textFill>
            <w14:solidFill>
              <w14:schemeClr w14:val="tx1"/>
            </w14:solidFill>
          </w14:textFill>
        </w:rPr>
        <w:t xml:space="preserve"> </w:t>
      </w:r>
      <w:r>
        <w:rPr>
          <w:rFonts w:hint="eastAsia" w:ascii="Times New Roman" w:hAnsi="Times New Roman" w:eastAsia="宋体" w:cs="Times New Roman"/>
          <w:b/>
          <w:bCs/>
          <w:color w:val="000000" w:themeColor="text1"/>
          <w:kern w:val="0"/>
          <w:sz w:val="24"/>
          <w:szCs w:val="24"/>
          <w14:textFill>
            <w14:solidFill>
              <w14:schemeClr w14:val="tx1"/>
            </w14:solidFill>
          </w14:textFill>
        </w:rPr>
        <w:t>利润表项目</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2"/>
        <w:jc w:val="left"/>
        <w:textAlignment w:val="auto"/>
        <w:rPr>
          <w:rFonts w:hint="default" w:ascii="Times New Roman" w:hAnsi="Times New Roman" w:eastAsia="宋体" w:cs="Times New Roman"/>
          <w:color w:val="000000" w:themeColor="text1"/>
          <w:kern w:val="0"/>
          <w:sz w:val="24"/>
          <w:szCs w:val="24"/>
          <w14:textFill>
            <w14:solidFill>
              <w14:schemeClr w14:val="tx1"/>
            </w14:solidFill>
          </w14:textFill>
        </w:rPr>
      </w:pPr>
      <w:r>
        <w:rPr>
          <w:rFonts w:hint="eastAsia" w:ascii="Times New Roman" w:hAnsi="Times New Roman" w:eastAsia="宋体" w:cs="Times New Roman"/>
          <w:color w:val="000000" w:themeColor="text1"/>
          <w:kern w:val="0"/>
          <w:sz w:val="24"/>
          <w:szCs w:val="24"/>
          <w14:textFill>
            <w14:solidFill>
              <w14:schemeClr w14:val="tx1"/>
            </w14:solidFill>
          </w14:textFill>
        </w:rPr>
        <w:t>（</w:t>
      </w:r>
      <w:r>
        <w:rPr>
          <w:rFonts w:hint="default" w:ascii="Times New Roman" w:hAnsi="Times New Roman" w:eastAsia="宋体" w:cs="Times New Roman"/>
          <w:color w:val="000000" w:themeColor="text1"/>
          <w:kern w:val="0"/>
          <w:sz w:val="24"/>
          <w:szCs w:val="24"/>
          <w14:textFill>
            <w14:solidFill>
              <w14:schemeClr w14:val="tx1"/>
            </w14:solidFill>
          </w14:textFill>
        </w:rPr>
        <w:t>1</w:t>
      </w:r>
      <w:r>
        <w:rPr>
          <w:rFonts w:hint="eastAsia" w:ascii="Times New Roman" w:hAnsi="Times New Roman" w:eastAsia="宋体" w:cs="Times New Roman"/>
          <w:color w:val="000000" w:themeColor="text1"/>
          <w:kern w:val="0"/>
          <w:sz w:val="24"/>
          <w:szCs w:val="24"/>
          <w14:textFill>
            <w14:solidFill>
              <w14:schemeClr w14:val="tx1"/>
            </w14:solidFill>
          </w14:textFill>
        </w:rPr>
        <w:t>）研发费用</w:t>
      </w:r>
      <w:r>
        <w:rPr>
          <w:rFonts w:hint="default" w:ascii="Times New Roman" w:hAnsi="Times New Roman" w:eastAsia="宋体" w:cs="Times New Roman"/>
          <w:color w:val="000000" w:themeColor="text1"/>
          <w:kern w:val="0"/>
          <w:sz w:val="24"/>
          <w:szCs w:val="24"/>
          <w14:textFill>
            <w14:solidFill>
              <w14:schemeClr w14:val="tx1"/>
            </w14:solidFill>
          </w14:textFill>
        </w:rPr>
        <w:t> 2023 </w:t>
      </w:r>
      <w:r>
        <w:rPr>
          <w:rFonts w:hint="eastAsia" w:ascii="Times New Roman" w:hAnsi="Times New Roman" w:eastAsia="宋体" w:cs="Times New Roman"/>
          <w:color w:val="000000" w:themeColor="text1"/>
          <w:kern w:val="0"/>
          <w:sz w:val="24"/>
          <w:szCs w:val="24"/>
          <w14:textFill>
            <w14:solidFill>
              <w14:schemeClr w14:val="tx1"/>
            </w14:solidFill>
          </w14:textFill>
        </w:rPr>
        <w:t>年</w:t>
      </w:r>
      <w:r>
        <w:rPr>
          <w:rFonts w:hint="default" w:ascii="Times New Roman" w:hAnsi="Times New Roman" w:eastAsia="宋体" w:cs="Times New Roman"/>
          <w:color w:val="000000" w:themeColor="text1"/>
          <w:kern w:val="0"/>
          <w:sz w:val="24"/>
          <w:szCs w:val="24"/>
          <w14:textFill>
            <w14:solidFill>
              <w14:schemeClr w14:val="tx1"/>
            </w14:solidFill>
          </w14:textFill>
        </w:rPr>
        <w:t xml:space="preserve"> 1-9 </w:t>
      </w:r>
      <w:r>
        <w:rPr>
          <w:rFonts w:hint="eastAsia" w:ascii="Times New Roman" w:hAnsi="Times New Roman" w:eastAsia="宋体" w:cs="Times New Roman"/>
          <w:color w:val="000000" w:themeColor="text1"/>
          <w:kern w:val="0"/>
          <w:sz w:val="24"/>
          <w:szCs w:val="24"/>
          <w14:textFill>
            <w14:solidFill>
              <w14:schemeClr w14:val="tx1"/>
            </w14:solidFill>
          </w14:textFill>
        </w:rPr>
        <w:t>月发生数为</w:t>
      </w:r>
      <w:r>
        <w:rPr>
          <w:rFonts w:hint="default" w:ascii="Times New Roman" w:hAnsi="Times New Roman" w:eastAsia="宋体" w:cs="Times New Roman"/>
          <w:color w:val="000000" w:themeColor="text1"/>
          <w:kern w:val="0"/>
          <w:sz w:val="24"/>
          <w:szCs w:val="24"/>
          <w14:textFill>
            <w14:solidFill>
              <w14:schemeClr w14:val="tx1"/>
            </w14:solidFill>
          </w14:textFill>
        </w:rPr>
        <w:t>18,871,454.47</w:t>
      </w:r>
      <w:r>
        <w:rPr>
          <w:rFonts w:hint="eastAsia" w:ascii="Times New Roman" w:hAnsi="Times New Roman" w:eastAsia="宋体" w:cs="Times New Roman"/>
          <w:color w:val="000000" w:themeColor="text1"/>
          <w:kern w:val="0"/>
          <w:sz w:val="24"/>
          <w:szCs w:val="24"/>
          <w14:textFill>
            <w14:solidFill>
              <w14:schemeClr w14:val="tx1"/>
            </w14:solidFill>
          </w14:textFill>
        </w:rPr>
        <w:t>元，比上期数增加</w:t>
      </w:r>
      <w:r>
        <w:rPr>
          <w:rFonts w:hint="default" w:ascii="Times New Roman" w:hAnsi="Times New Roman" w:eastAsia="宋体" w:cs="Times New Roman"/>
          <w:color w:val="000000" w:themeColor="text1"/>
          <w:kern w:val="0"/>
          <w:sz w:val="24"/>
          <w:szCs w:val="24"/>
          <w14:textFill>
            <w14:solidFill>
              <w14:schemeClr w14:val="tx1"/>
            </w14:solidFill>
          </w14:textFill>
        </w:rPr>
        <w:t xml:space="preserve"> 391.07%</w:t>
      </w:r>
      <w:r>
        <w:rPr>
          <w:rFonts w:hint="eastAsia" w:ascii="Times New Roman" w:hAnsi="Times New Roman" w:eastAsia="宋体" w:cs="Times New Roman"/>
          <w:color w:val="000000" w:themeColor="text1"/>
          <w:kern w:val="0"/>
          <w:sz w:val="24"/>
          <w:szCs w:val="24"/>
          <w14:textFill>
            <w14:solidFill>
              <w14:schemeClr w14:val="tx1"/>
            </w14:solidFill>
          </w14:textFill>
        </w:rPr>
        <w:t>，其主要原因系报告期公司增加研发投入所致；</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2"/>
        <w:jc w:val="left"/>
        <w:textAlignment w:val="auto"/>
        <w:rPr>
          <w:rFonts w:hint="default" w:ascii="Times New Roman" w:hAnsi="Times New Roman" w:eastAsia="宋体" w:cs="Times New Roman"/>
          <w:color w:val="000000" w:themeColor="text1"/>
          <w:kern w:val="0"/>
          <w:sz w:val="24"/>
          <w:szCs w:val="24"/>
          <w14:textFill>
            <w14:solidFill>
              <w14:schemeClr w14:val="tx1"/>
            </w14:solidFill>
          </w14:textFill>
        </w:rPr>
      </w:pPr>
      <w:r>
        <w:rPr>
          <w:rFonts w:hint="eastAsia" w:ascii="Times New Roman" w:hAnsi="Times New Roman" w:eastAsia="宋体" w:cs="Times New Roman"/>
          <w:color w:val="000000" w:themeColor="text1"/>
          <w:kern w:val="0"/>
          <w:sz w:val="24"/>
          <w:szCs w:val="24"/>
          <w14:textFill>
            <w14:solidFill>
              <w14:schemeClr w14:val="tx1"/>
            </w14:solidFill>
          </w14:textFill>
        </w:rPr>
        <w:t>（</w:t>
      </w:r>
      <w:r>
        <w:rPr>
          <w:rFonts w:hint="default" w:ascii="Times New Roman" w:hAnsi="Times New Roman" w:eastAsia="宋体" w:cs="Times New Roman"/>
          <w:color w:val="000000" w:themeColor="text1"/>
          <w:kern w:val="0"/>
          <w:sz w:val="24"/>
          <w:szCs w:val="24"/>
          <w14:textFill>
            <w14:solidFill>
              <w14:schemeClr w14:val="tx1"/>
            </w14:solidFill>
          </w14:textFill>
        </w:rPr>
        <w:t>2</w:t>
      </w:r>
      <w:r>
        <w:rPr>
          <w:rFonts w:hint="eastAsia" w:ascii="Times New Roman" w:hAnsi="Times New Roman" w:eastAsia="宋体" w:cs="Times New Roman"/>
          <w:color w:val="000000" w:themeColor="text1"/>
          <w:kern w:val="0"/>
          <w:sz w:val="24"/>
          <w:szCs w:val="24"/>
          <w14:textFill>
            <w14:solidFill>
              <w14:schemeClr w14:val="tx1"/>
            </w14:solidFill>
          </w14:textFill>
        </w:rPr>
        <w:t>）投资收益</w:t>
      </w:r>
      <w:r>
        <w:rPr>
          <w:rFonts w:hint="default" w:ascii="Times New Roman" w:hAnsi="Times New Roman" w:eastAsia="宋体" w:cs="Times New Roman"/>
          <w:color w:val="000000" w:themeColor="text1"/>
          <w:kern w:val="0"/>
          <w:sz w:val="24"/>
          <w:szCs w:val="24"/>
          <w14:textFill>
            <w14:solidFill>
              <w14:schemeClr w14:val="tx1"/>
            </w14:solidFill>
          </w14:textFill>
        </w:rPr>
        <w:t xml:space="preserve"> 2023 </w:t>
      </w:r>
      <w:r>
        <w:rPr>
          <w:rFonts w:hint="eastAsia" w:ascii="Times New Roman" w:hAnsi="Times New Roman" w:eastAsia="宋体" w:cs="Times New Roman"/>
          <w:color w:val="000000" w:themeColor="text1"/>
          <w:kern w:val="0"/>
          <w:sz w:val="24"/>
          <w:szCs w:val="24"/>
          <w14:textFill>
            <w14:solidFill>
              <w14:schemeClr w14:val="tx1"/>
            </w14:solidFill>
          </w14:textFill>
        </w:rPr>
        <w:t>年</w:t>
      </w:r>
      <w:r>
        <w:rPr>
          <w:rFonts w:hint="default" w:ascii="Times New Roman" w:hAnsi="Times New Roman" w:eastAsia="宋体" w:cs="Times New Roman"/>
          <w:color w:val="000000" w:themeColor="text1"/>
          <w:kern w:val="0"/>
          <w:sz w:val="24"/>
          <w:szCs w:val="24"/>
          <w14:textFill>
            <w14:solidFill>
              <w14:schemeClr w14:val="tx1"/>
            </w14:solidFill>
          </w14:textFill>
        </w:rPr>
        <w:t xml:space="preserve"> 1-9 </w:t>
      </w:r>
      <w:r>
        <w:rPr>
          <w:rFonts w:hint="eastAsia" w:ascii="Times New Roman" w:hAnsi="Times New Roman" w:eastAsia="宋体" w:cs="Times New Roman"/>
          <w:color w:val="000000" w:themeColor="text1"/>
          <w:kern w:val="0"/>
          <w:sz w:val="24"/>
          <w:szCs w:val="24"/>
          <w14:textFill>
            <w14:solidFill>
              <w14:schemeClr w14:val="tx1"/>
            </w14:solidFill>
          </w14:textFill>
        </w:rPr>
        <w:t xml:space="preserve">月发生数为 </w:t>
      </w:r>
      <w:r>
        <w:rPr>
          <w:rFonts w:hint="default" w:ascii="Times New Roman" w:hAnsi="Times New Roman" w:eastAsia="宋体" w:cs="Times New Roman"/>
          <w:color w:val="000000" w:themeColor="text1"/>
          <w:kern w:val="0"/>
          <w:sz w:val="24"/>
          <w:szCs w:val="24"/>
          <w14:textFill>
            <w14:solidFill>
              <w14:schemeClr w14:val="tx1"/>
            </w14:solidFill>
          </w14:textFill>
        </w:rPr>
        <w:t>30,776,237.56</w:t>
      </w:r>
      <w:r>
        <w:rPr>
          <w:rFonts w:hint="eastAsia" w:ascii="Times New Roman" w:hAnsi="Times New Roman" w:eastAsia="宋体" w:cs="Times New Roman"/>
          <w:color w:val="000000" w:themeColor="text1"/>
          <w:kern w:val="0"/>
          <w:sz w:val="24"/>
          <w:szCs w:val="24"/>
          <w14:textFill>
            <w14:solidFill>
              <w14:schemeClr w14:val="tx1"/>
            </w14:solidFill>
          </w14:textFill>
        </w:rPr>
        <w:t>元，比上期数增加</w:t>
      </w:r>
      <w:r>
        <w:rPr>
          <w:rFonts w:hint="default" w:ascii="Times New Roman" w:hAnsi="Times New Roman" w:eastAsia="宋体" w:cs="Times New Roman"/>
          <w:color w:val="000000" w:themeColor="text1"/>
          <w:kern w:val="0"/>
          <w:sz w:val="24"/>
          <w:szCs w:val="24"/>
          <w14:textFill>
            <w14:solidFill>
              <w14:schemeClr w14:val="tx1"/>
            </w14:solidFill>
          </w14:textFill>
        </w:rPr>
        <w:t>53.33%</w:t>
      </w:r>
      <w:r>
        <w:rPr>
          <w:rFonts w:hint="eastAsia" w:ascii="Times New Roman" w:hAnsi="Times New Roman" w:eastAsia="宋体" w:cs="Times New Roman"/>
          <w:color w:val="000000" w:themeColor="text1"/>
          <w:kern w:val="0"/>
          <w:sz w:val="24"/>
          <w:szCs w:val="24"/>
          <w14:textFill>
            <w14:solidFill>
              <w14:schemeClr w14:val="tx1"/>
            </w14:solidFill>
          </w14:textFill>
        </w:rPr>
        <w:t>，其主要原因系报告期公司权益法核算的参股公司投资收益增加所致；</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2"/>
        <w:jc w:val="left"/>
        <w:textAlignment w:val="auto"/>
        <w:rPr>
          <w:rFonts w:hint="default" w:ascii="Times New Roman" w:hAnsi="Times New Roman" w:eastAsia="宋体" w:cs="Times New Roman"/>
          <w:color w:val="000000" w:themeColor="text1"/>
          <w:kern w:val="0"/>
          <w:sz w:val="24"/>
          <w:szCs w:val="24"/>
          <w14:textFill>
            <w14:solidFill>
              <w14:schemeClr w14:val="tx1"/>
            </w14:solidFill>
          </w14:textFill>
        </w:rPr>
      </w:pPr>
      <w:r>
        <w:rPr>
          <w:rFonts w:hint="eastAsia" w:ascii="Times New Roman" w:hAnsi="Times New Roman" w:eastAsia="宋体" w:cs="Times New Roman"/>
          <w:color w:val="000000" w:themeColor="text1"/>
          <w:kern w:val="0"/>
          <w:sz w:val="24"/>
          <w:szCs w:val="24"/>
          <w14:textFill>
            <w14:solidFill>
              <w14:schemeClr w14:val="tx1"/>
            </w14:solidFill>
          </w14:textFill>
        </w:rPr>
        <w:t>（</w:t>
      </w:r>
      <w:r>
        <w:rPr>
          <w:rFonts w:hint="default" w:ascii="Times New Roman" w:hAnsi="Times New Roman" w:eastAsia="宋体" w:cs="Times New Roman"/>
          <w:color w:val="000000" w:themeColor="text1"/>
          <w:kern w:val="0"/>
          <w:sz w:val="24"/>
          <w:szCs w:val="24"/>
          <w14:textFill>
            <w14:solidFill>
              <w14:schemeClr w14:val="tx1"/>
            </w14:solidFill>
          </w14:textFill>
        </w:rPr>
        <w:t>3</w:t>
      </w:r>
      <w:r>
        <w:rPr>
          <w:rFonts w:hint="eastAsia" w:ascii="Times New Roman" w:hAnsi="Times New Roman" w:eastAsia="宋体" w:cs="Times New Roman"/>
          <w:color w:val="000000" w:themeColor="text1"/>
          <w:kern w:val="0"/>
          <w:sz w:val="24"/>
          <w:szCs w:val="24"/>
          <w14:textFill>
            <w14:solidFill>
              <w14:schemeClr w14:val="tx1"/>
            </w14:solidFill>
          </w14:textFill>
        </w:rPr>
        <w:t>）信用减值损失</w:t>
      </w:r>
      <w:r>
        <w:rPr>
          <w:rFonts w:hint="default" w:ascii="Times New Roman" w:hAnsi="Times New Roman" w:eastAsia="宋体" w:cs="Times New Roman"/>
          <w:color w:val="000000" w:themeColor="text1"/>
          <w:kern w:val="0"/>
          <w:sz w:val="24"/>
          <w:szCs w:val="24"/>
          <w14:textFill>
            <w14:solidFill>
              <w14:schemeClr w14:val="tx1"/>
            </w14:solidFill>
          </w14:textFill>
        </w:rPr>
        <w:t> 2023 </w:t>
      </w:r>
      <w:r>
        <w:rPr>
          <w:rFonts w:hint="eastAsia" w:ascii="Times New Roman" w:hAnsi="Times New Roman" w:eastAsia="宋体" w:cs="Times New Roman"/>
          <w:color w:val="000000" w:themeColor="text1"/>
          <w:kern w:val="0"/>
          <w:sz w:val="24"/>
          <w:szCs w:val="24"/>
          <w14:textFill>
            <w14:solidFill>
              <w14:schemeClr w14:val="tx1"/>
            </w14:solidFill>
          </w14:textFill>
        </w:rPr>
        <w:t>年</w:t>
      </w:r>
      <w:r>
        <w:rPr>
          <w:rFonts w:hint="default" w:ascii="Times New Roman" w:hAnsi="Times New Roman" w:eastAsia="宋体" w:cs="Times New Roman"/>
          <w:color w:val="000000" w:themeColor="text1"/>
          <w:kern w:val="0"/>
          <w:sz w:val="24"/>
          <w:szCs w:val="24"/>
          <w14:textFill>
            <w14:solidFill>
              <w14:schemeClr w14:val="tx1"/>
            </w14:solidFill>
          </w14:textFill>
        </w:rPr>
        <w:t xml:space="preserve"> 1-9 </w:t>
      </w:r>
      <w:r>
        <w:rPr>
          <w:rFonts w:hint="eastAsia" w:ascii="Times New Roman" w:hAnsi="Times New Roman" w:eastAsia="宋体" w:cs="Times New Roman"/>
          <w:color w:val="000000" w:themeColor="text1"/>
          <w:kern w:val="0"/>
          <w:sz w:val="24"/>
          <w:szCs w:val="24"/>
          <w14:textFill>
            <w14:solidFill>
              <w14:schemeClr w14:val="tx1"/>
            </w14:solidFill>
          </w14:textFill>
        </w:rPr>
        <w:t>月发生数为</w:t>
      </w:r>
      <w:r>
        <w:rPr>
          <w:rFonts w:hint="default" w:ascii="Times New Roman" w:hAnsi="Times New Roman" w:eastAsia="宋体" w:cs="Times New Roman"/>
          <w:color w:val="000000" w:themeColor="text1"/>
          <w:kern w:val="0"/>
          <w:sz w:val="24"/>
          <w:szCs w:val="24"/>
          <w14:textFill>
            <w14:solidFill>
              <w14:schemeClr w14:val="tx1"/>
            </w14:solidFill>
          </w14:textFill>
        </w:rPr>
        <w:t>-30,237,466.20</w:t>
      </w:r>
      <w:r>
        <w:rPr>
          <w:rFonts w:hint="eastAsia" w:ascii="Times New Roman" w:hAnsi="Times New Roman" w:eastAsia="宋体" w:cs="Times New Roman"/>
          <w:color w:val="000000" w:themeColor="text1"/>
          <w:kern w:val="0"/>
          <w:sz w:val="24"/>
          <w:szCs w:val="24"/>
          <w14:textFill>
            <w14:solidFill>
              <w14:schemeClr w14:val="tx1"/>
            </w14:solidFill>
          </w14:textFill>
        </w:rPr>
        <w:t>元，比上期数减少</w:t>
      </w:r>
      <w:r>
        <w:rPr>
          <w:rFonts w:hint="default" w:ascii="Times New Roman" w:hAnsi="Times New Roman" w:eastAsia="宋体" w:cs="Times New Roman"/>
          <w:color w:val="000000" w:themeColor="text1"/>
          <w:kern w:val="0"/>
          <w:sz w:val="24"/>
          <w:szCs w:val="24"/>
          <w14:textFill>
            <w14:solidFill>
              <w14:schemeClr w14:val="tx1"/>
            </w14:solidFill>
          </w14:textFill>
        </w:rPr>
        <w:t>30,695,465.60</w:t>
      </w:r>
      <w:r>
        <w:rPr>
          <w:rFonts w:hint="eastAsia" w:ascii="Times New Roman" w:hAnsi="Times New Roman" w:eastAsia="宋体" w:cs="Times New Roman"/>
          <w:color w:val="000000" w:themeColor="text1"/>
          <w:kern w:val="0"/>
          <w:sz w:val="24"/>
          <w:szCs w:val="24"/>
          <w14:textFill>
            <w14:solidFill>
              <w14:schemeClr w14:val="tx1"/>
            </w14:solidFill>
          </w14:textFill>
        </w:rPr>
        <w:t>元，其主要原因系报告期公司应收账款计提信用减值准备增加所致；</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2"/>
        <w:jc w:val="left"/>
        <w:textAlignment w:val="auto"/>
        <w:rPr>
          <w:rFonts w:hint="default" w:ascii="Times New Roman" w:hAnsi="Times New Roman" w:eastAsia="宋体" w:cs="Times New Roman"/>
          <w:color w:val="000000" w:themeColor="text1"/>
          <w:kern w:val="0"/>
          <w:sz w:val="24"/>
          <w:szCs w:val="24"/>
          <w14:textFill>
            <w14:solidFill>
              <w14:schemeClr w14:val="tx1"/>
            </w14:solidFill>
          </w14:textFill>
        </w:rPr>
      </w:pPr>
      <w:r>
        <w:rPr>
          <w:rFonts w:hint="eastAsia" w:ascii="Times New Roman" w:hAnsi="Times New Roman" w:eastAsia="宋体" w:cs="Times New Roman"/>
          <w:color w:val="000000" w:themeColor="text1"/>
          <w:kern w:val="0"/>
          <w:sz w:val="24"/>
          <w:szCs w:val="24"/>
          <w14:textFill>
            <w14:solidFill>
              <w14:schemeClr w14:val="tx1"/>
            </w14:solidFill>
          </w14:textFill>
        </w:rPr>
        <w:t>（</w:t>
      </w:r>
      <w:r>
        <w:rPr>
          <w:rFonts w:hint="default" w:ascii="Times New Roman" w:hAnsi="Times New Roman" w:eastAsia="宋体" w:cs="Times New Roman"/>
          <w:color w:val="000000" w:themeColor="text1"/>
          <w:kern w:val="0"/>
          <w:sz w:val="24"/>
          <w:szCs w:val="24"/>
          <w14:textFill>
            <w14:solidFill>
              <w14:schemeClr w14:val="tx1"/>
            </w14:solidFill>
          </w14:textFill>
        </w:rPr>
        <w:t>4</w:t>
      </w:r>
      <w:r>
        <w:rPr>
          <w:rFonts w:hint="eastAsia" w:ascii="Times New Roman" w:hAnsi="Times New Roman" w:eastAsia="宋体" w:cs="Times New Roman"/>
          <w:color w:val="000000" w:themeColor="text1"/>
          <w:kern w:val="0"/>
          <w:sz w:val="24"/>
          <w:szCs w:val="24"/>
          <w14:textFill>
            <w14:solidFill>
              <w14:schemeClr w14:val="tx1"/>
            </w14:solidFill>
          </w14:textFill>
        </w:rPr>
        <w:t>）资产处置收益</w:t>
      </w:r>
      <w:r>
        <w:rPr>
          <w:rFonts w:hint="default" w:ascii="Times New Roman" w:hAnsi="Times New Roman" w:eastAsia="宋体" w:cs="Times New Roman"/>
          <w:color w:val="000000" w:themeColor="text1"/>
          <w:kern w:val="0"/>
          <w:sz w:val="24"/>
          <w:szCs w:val="24"/>
          <w14:textFill>
            <w14:solidFill>
              <w14:schemeClr w14:val="tx1"/>
            </w14:solidFill>
          </w14:textFill>
        </w:rPr>
        <w:t xml:space="preserve"> 2023</w:t>
      </w:r>
      <w:r>
        <w:rPr>
          <w:rFonts w:hint="eastAsia" w:ascii="Times New Roman" w:hAnsi="Times New Roman" w:eastAsia="宋体" w:cs="Times New Roman"/>
          <w:color w:val="000000" w:themeColor="text1"/>
          <w:kern w:val="0"/>
          <w:sz w:val="24"/>
          <w:szCs w:val="24"/>
          <w14:textFill>
            <w14:solidFill>
              <w14:schemeClr w14:val="tx1"/>
            </w14:solidFill>
          </w14:textFill>
        </w:rPr>
        <w:t>年</w:t>
      </w:r>
      <w:r>
        <w:rPr>
          <w:rFonts w:hint="default" w:ascii="Times New Roman" w:hAnsi="Times New Roman" w:eastAsia="宋体" w:cs="Times New Roman"/>
          <w:color w:val="000000" w:themeColor="text1"/>
          <w:kern w:val="0"/>
          <w:sz w:val="24"/>
          <w:szCs w:val="24"/>
          <w14:textFill>
            <w14:solidFill>
              <w14:schemeClr w14:val="tx1"/>
            </w14:solidFill>
          </w14:textFill>
        </w:rPr>
        <w:t xml:space="preserve"> 1-9 </w:t>
      </w:r>
      <w:r>
        <w:rPr>
          <w:rFonts w:hint="eastAsia" w:ascii="Times New Roman" w:hAnsi="Times New Roman" w:eastAsia="宋体" w:cs="Times New Roman"/>
          <w:color w:val="000000" w:themeColor="text1"/>
          <w:kern w:val="0"/>
          <w:sz w:val="24"/>
          <w:szCs w:val="24"/>
          <w14:textFill>
            <w14:solidFill>
              <w14:schemeClr w14:val="tx1"/>
            </w14:solidFill>
          </w14:textFill>
        </w:rPr>
        <w:t>月发生数为</w:t>
      </w:r>
      <w:r>
        <w:rPr>
          <w:rFonts w:hint="default" w:ascii="Times New Roman" w:hAnsi="Times New Roman" w:eastAsia="宋体" w:cs="Times New Roman"/>
          <w:color w:val="000000" w:themeColor="text1"/>
          <w:kern w:val="0"/>
          <w:sz w:val="24"/>
          <w:szCs w:val="24"/>
          <w14:textFill>
            <w14:solidFill>
              <w14:schemeClr w14:val="tx1"/>
            </w14:solidFill>
          </w14:textFill>
        </w:rPr>
        <w:t>233,978.67 </w:t>
      </w:r>
      <w:r>
        <w:rPr>
          <w:rFonts w:hint="eastAsia" w:ascii="Times New Roman" w:hAnsi="Times New Roman" w:eastAsia="宋体" w:cs="Times New Roman"/>
          <w:color w:val="000000" w:themeColor="text1"/>
          <w:kern w:val="0"/>
          <w:sz w:val="24"/>
          <w:szCs w:val="24"/>
          <w14:textFill>
            <w14:solidFill>
              <w14:schemeClr w14:val="tx1"/>
            </w14:solidFill>
          </w14:textFill>
        </w:rPr>
        <w:t>元，比上期数减少</w:t>
      </w:r>
      <w:r>
        <w:rPr>
          <w:rFonts w:hint="default" w:ascii="Times New Roman" w:hAnsi="Times New Roman" w:eastAsia="宋体" w:cs="Times New Roman"/>
          <w:color w:val="000000" w:themeColor="text1"/>
          <w:kern w:val="0"/>
          <w:sz w:val="24"/>
          <w:szCs w:val="24"/>
          <w14:textFill>
            <w14:solidFill>
              <w14:schemeClr w14:val="tx1"/>
            </w14:solidFill>
          </w14:textFill>
        </w:rPr>
        <w:t>63.13%</w:t>
      </w:r>
      <w:r>
        <w:rPr>
          <w:rFonts w:hint="eastAsia" w:ascii="Times New Roman" w:hAnsi="Times New Roman" w:eastAsia="宋体" w:cs="Times New Roman"/>
          <w:color w:val="000000" w:themeColor="text1"/>
          <w:kern w:val="0"/>
          <w:sz w:val="24"/>
          <w:szCs w:val="24"/>
          <w14:textFill>
            <w14:solidFill>
              <w14:schemeClr w14:val="tx1"/>
            </w14:solidFill>
          </w14:textFill>
        </w:rPr>
        <w:t>，其主要原因系报告期公司处置资产收益减少所致；</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2"/>
        <w:jc w:val="left"/>
        <w:textAlignment w:val="auto"/>
        <w:rPr>
          <w:rFonts w:hint="default" w:ascii="Times New Roman" w:hAnsi="Times New Roman" w:eastAsia="宋体" w:cs="Times New Roman"/>
          <w:color w:val="000000" w:themeColor="text1"/>
          <w:kern w:val="0"/>
          <w:sz w:val="24"/>
          <w:szCs w:val="24"/>
          <w14:textFill>
            <w14:solidFill>
              <w14:schemeClr w14:val="tx1"/>
            </w14:solidFill>
          </w14:textFill>
        </w:rPr>
      </w:pPr>
      <w:r>
        <w:rPr>
          <w:rFonts w:hint="eastAsia" w:ascii="Times New Roman" w:hAnsi="Times New Roman" w:eastAsia="宋体" w:cs="Times New Roman"/>
          <w:color w:val="000000" w:themeColor="text1"/>
          <w:kern w:val="0"/>
          <w:sz w:val="24"/>
          <w:szCs w:val="24"/>
          <w14:textFill>
            <w14:solidFill>
              <w14:schemeClr w14:val="tx1"/>
            </w14:solidFill>
          </w14:textFill>
        </w:rPr>
        <w:t>（</w:t>
      </w:r>
      <w:r>
        <w:rPr>
          <w:rFonts w:hint="default" w:ascii="Times New Roman" w:hAnsi="Times New Roman" w:eastAsia="宋体" w:cs="Times New Roman"/>
          <w:color w:val="000000" w:themeColor="text1"/>
          <w:kern w:val="0"/>
          <w:sz w:val="24"/>
          <w:szCs w:val="24"/>
          <w14:textFill>
            <w14:solidFill>
              <w14:schemeClr w14:val="tx1"/>
            </w14:solidFill>
          </w14:textFill>
        </w:rPr>
        <w:t>5</w:t>
      </w:r>
      <w:r>
        <w:rPr>
          <w:rFonts w:hint="eastAsia" w:ascii="Times New Roman" w:hAnsi="Times New Roman" w:eastAsia="宋体" w:cs="Times New Roman"/>
          <w:color w:val="000000" w:themeColor="text1"/>
          <w:kern w:val="0"/>
          <w:sz w:val="24"/>
          <w:szCs w:val="24"/>
          <w14:textFill>
            <w14:solidFill>
              <w14:schemeClr w14:val="tx1"/>
            </w14:solidFill>
          </w14:textFill>
        </w:rPr>
        <w:t>）利润总额</w:t>
      </w:r>
      <w:r>
        <w:rPr>
          <w:rFonts w:hint="default" w:ascii="Times New Roman" w:hAnsi="Times New Roman" w:eastAsia="宋体" w:cs="Times New Roman"/>
          <w:color w:val="000000" w:themeColor="text1"/>
          <w:kern w:val="0"/>
          <w:sz w:val="24"/>
          <w:szCs w:val="24"/>
          <w14:textFill>
            <w14:solidFill>
              <w14:schemeClr w14:val="tx1"/>
            </w14:solidFill>
          </w14:textFill>
        </w:rPr>
        <w:t> 2023 </w:t>
      </w:r>
      <w:r>
        <w:rPr>
          <w:rFonts w:hint="eastAsia" w:ascii="Times New Roman" w:hAnsi="Times New Roman" w:eastAsia="宋体" w:cs="Times New Roman"/>
          <w:color w:val="000000" w:themeColor="text1"/>
          <w:kern w:val="0"/>
          <w:sz w:val="24"/>
          <w:szCs w:val="24"/>
          <w14:textFill>
            <w14:solidFill>
              <w14:schemeClr w14:val="tx1"/>
            </w14:solidFill>
          </w14:textFill>
        </w:rPr>
        <w:t>年</w:t>
      </w:r>
      <w:r>
        <w:rPr>
          <w:rFonts w:hint="default" w:ascii="Times New Roman" w:hAnsi="Times New Roman" w:eastAsia="宋体" w:cs="Times New Roman"/>
          <w:color w:val="000000" w:themeColor="text1"/>
          <w:kern w:val="0"/>
          <w:sz w:val="24"/>
          <w:szCs w:val="24"/>
          <w14:textFill>
            <w14:solidFill>
              <w14:schemeClr w14:val="tx1"/>
            </w14:solidFill>
          </w14:textFill>
        </w:rPr>
        <w:t xml:space="preserve"> 1-9 </w:t>
      </w:r>
      <w:r>
        <w:rPr>
          <w:rFonts w:hint="eastAsia" w:ascii="Times New Roman" w:hAnsi="Times New Roman" w:eastAsia="宋体" w:cs="Times New Roman"/>
          <w:color w:val="000000" w:themeColor="text1"/>
          <w:kern w:val="0"/>
          <w:sz w:val="24"/>
          <w:szCs w:val="24"/>
          <w14:textFill>
            <w14:solidFill>
              <w14:schemeClr w14:val="tx1"/>
            </w14:solidFill>
          </w14:textFill>
        </w:rPr>
        <w:t>月发生数为</w:t>
      </w:r>
      <w:r>
        <w:rPr>
          <w:rFonts w:hint="default" w:ascii="Times New Roman" w:hAnsi="Times New Roman" w:eastAsia="宋体" w:cs="Times New Roman"/>
          <w:color w:val="000000" w:themeColor="text1"/>
          <w:kern w:val="0"/>
          <w:sz w:val="24"/>
          <w:szCs w:val="24"/>
          <w14:textFill>
            <w14:solidFill>
              <w14:schemeClr w14:val="tx1"/>
            </w14:solidFill>
          </w14:textFill>
        </w:rPr>
        <w:t>882,386,960.34</w:t>
      </w:r>
      <w:r>
        <w:rPr>
          <w:rFonts w:hint="eastAsia" w:ascii="Times New Roman" w:hAnsi="Times New Roman" w:eastAsia="宋体" w:cs="Times New Roman"/>
          <w:color w:val="000000" w:themeColor="text1"/>
          <w:kern w:val="0"/>
          <w:sz w:val="24"/>
          <w:szCs w:val="24"/>
          <w14:textFill>
            <w14:solidFill>
              <w14:schemeClr w14:val="tx1"/>
            </w14:solidFill>
          </w14:textFill>
        </w:rPr>
        <w:t>元，比上期数增加</w:t>
      </w:r>
      <w:r>
        <w:rPr>
          <w:rFonts w:hint="default" w:ascii="Times New Roman" w:hAnsi="Times New Roman" w:eastAsia="宋体" w:cs="Times New Roman"/>
          <w:color w:val="000000" w:themeColor="text1"/>
          <w:kern w:val="0"/>
          <w:sz w:val="24"/>
          <w:szCs w:val="24"/>
          <w14:textFill>
            <w14:solidFill>
              <w14:schemeClr w14:val="tx1"/>
            </w14:solidFill>
          </w14:textFill>
        </w:rPr>
        <w:t>116.78%</w:t>
      </w:r>
      <w:r>
        <w:rPr>
          <w:rFonts w:hint="eastAsia" w:ascii="Times New Roman" w:hAnsi="Times New Roman" w:eastAsia="宋体" w:cs="Times New Roman"/>
          <w:color w:val="000000" w:themeColor="text1"/>
          <w:kern w:val="0"/>
          <w:sz w:val="24"/>
          <w:szCs w:val="24"/>
          <w14:textFill>
            <w14:solidFill>
              <w14:schemeClr w14:val="tx1"/>
            </w14:solidFill>
          </w14:textFill>
        </w:rPr>
        <w:t>，其主要原因系报告期公司入炉综合标煤单价同比下降、水电发电量同比增加以及新建光伏项目陆续投产增加利润所致；</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2"/>
        <w:jc w:val="left"/>
        <w:textAlignment w:val="auto"/>
        <w:rPr>
          <w:rFonts w:hint="default" w:ascii="Times New Roman" w:hAnsi="Times New Roman" w:eastAsia="宋体" w:cs="Times New Roman"/>
          <w:color w:val="000000" w:themeColor="text1"/>
          <w:kern w:val="0"/>
          <w:sz w:val="24"/>
          <w:szCs w:val="24"/>
          <w14:textFill>
            <w14:solidFill>
              <w14:schemeClr w14:val="tx1"/>
            </w14:solidFill>
          </w14:textFill>
        </w:rPr>
      </w:pPr>
      <w:r>
        <w:rPr>
          <w:rFonts w:hint="eastAsia" w:ascii="Times New Roman" w:hAnsi="Times New Roman" w:eastAsia="宋体" w:cs="Times New Roman"/>
          <w:color w:val="000000" w:themeColor="text1"/>
          <w:kern w:val="0"/>
          <w:sz w:val="24"/>
          <w:szCs w:val="24"/>
          <w14:textFill>
            <w14:solidFill>
              <w14:schemeClr w14:val="tx1"/>
            </w14:solidFill>
          </w14:textFill>
        </w:rPr>
        <w:t>（</w:t>
      </w:r>
      <w:r>
        <w:rPr>
          <w:rFonts w:hint="default" w:ascii="Times New Roman" w:hAnsi="Times New Roman" w:eastAsia="宋体" w:cs="Times New Roman"/>
          <w:color w:val="000000" w:themeColor="text1"/>
          <w:kern w:val="0"/>
          <w:sz w:val="24"/>
          <w:szCs w:val="24"/>
          <w14:textFill>
            <w14:solidFill>
              <w14:schemeClr w14:val="tx1"/>
            </w14:solidFill>
          </w14:textFill>
        </w:rPr>
        <w:t>6</w:t>
      </w:r>
      <w:r>
        <w:rPr>
          <w:rFonts w:hint="eastAsia" w:ascii="Times New Roman" w:hAnsi="Times New Roman" w:eastAsia="宋体" w:cs="Times New Roman"/>
          <w:color w:val="000000" w:themeColor="text1"/>
          <w:kern w:val="0"/>
          <w:sz w:val="24"/>
          <w:szCs w:val="24"/>
          <w14:textFill>
            <w14:solidFill>
              <w14:schemeClr w14:val="tx1"/>
            </w14:solidFill>
          </w14:textFill>
        </w:rPr>
        <w:t>）所得税费用</w:t>
      </w:r>
      <w:r>
        <w:rPr>
          <w:rFonts w:hint="default" w:ascii="Times New Roman" w:hAnsi="Times New Roman" w:eastAsia="宋体" w:cs="Times New Roman"/>
          <w:color w:val="000000" w:themeColor="text1"/>
          <w:kern w:val="0"/>
          <w:sz w:val="24"/>
          <w:szCs w:val="24"/>
          <w14:textFill>
            <w14:solidFill>
              <w14:schemeClr w14:val="tx1"/>
            </w14:solidFill>
          </w14:textFill>
        </w:rPr>
        <w:t xml:space="preserve"> 2023 </w:t>
      </w:r>
      <w:r>
        <w:rPr>
          <w:rFonts w:hint="eastAsia" w:ascii="Times New Roman" w:hAnsi="Times New Roman" w:eastAsia="宋体" w:cs="Times New Roman"/>
          <w:color w:val="000000" w:themeColor="text1"/>
          <w:kern w:val="0"/>
          <w:sz w:val="24"/>
          <w:szCs w:val="24"/>
          <w14:textFill>
            <w14:solidFill>
              <w14:schemeClr w14:val="tx1"/>
            </w14:solidFill>
          </w14:textFill>
        </w:rPr>
        <w:t>年</w:t>
      </w:r>
      <w:r>
        <w:rPr>
          <w:rFonts w:hint="default" w:ascii="Times New Roman" w:hAnsi="Times New Roman" w:eastAsia="宋体" w:cs="Times New Roman"/>
          <w:color w:val="000000" w:themeColor="text1"/>
          <w:kern w:val="0"/>
          <w:sz w:val="24"/>
          <w:szCs w:val="24"/>
          <w14:textFill>
            <w14:solidFill>
              <w14:schemeClr w14:val="tx1"/>
            </w14:solidFill>
          </w14:textFill>
        </w:rPr>
        <w:t xml:space="preserve"> 1-9 </w:t>
      </w:r>
      <w:r>
        <w:rPr>
          <w:rFonts w:hint="eastAsia" w:ascii="Times New Roman" w:hAnsi="Times New Roman" w:eastAsia="宋体" w:cs="Times New Roman"/>
          <w:color w:val="000000" w:themeColor="text1"/>
          <w:kern w:val="0"/>
          <w:sz w:val="24"/>
          <w:szCs w:val="24"/>
          <w14:textFill>
            <w14:solidFill>
              <w14:schemeClr w14:val="tx1"/>
            </w14:solidFill>
          </w14:textFill>
        </w:rPr>
        <w:t>月发生数为</w:t>
      </w:r>
      <w:r>
        <w:rPr>
          <w:rFonts w:hint="default" w:ascii="Times New Roman" w:hAnsi="Times New Roman" w:eastAsia="宋体" w:cs="Times New Roman"/>
          <w:color w:val="000000" w:themeColor="text1"/>
          <w:kern w:val="0"/>
          <w:sz w:val="24"/>
          <w:szCs w:val="24"/>
          <w14:textFill>
            <w14:solidFill>
              <w14:schemeClr w14:val="tx1"/>
            </w14:solidFill>
          </w14:textFill>
        </w:rPr>
        <w:t>209,158,656.43 </w:t>
      </w:r>
      <w:r>
        <w:rPr>
          <w:rFonts w:hint="eastAsia" w:ascii="Times New Roman" w:hAnsi="Times New Roman" w:eastAsia="宋体" w:cs="Times New Roman"/>
          <w:color w:val="000000" w:themeColor="text1"/>
          <w:kern w:val="0"/>
          <w:sz w:val="24"/>
          <w:szCs w:val="24"/>
          <w14:textFill>
            <w14:solidFill>
              <w14:schemeClr w14:val="tx1"/>
            </w14:solidFill>
          </w14:textFill>
        </w:rPr>
        <w:t>元，比上期数增加</w:t>
      </w:r>
      <w:r>
        <w:rPr>
          <w:rFonts w:hint="default" w:ascii="Times New Roman" w:hAnsi="Times New Roman" w:eastAsia="宋体" w:cs="Times New Roman"/>
          <w:color w:val="000000" w:themeColor="text1"/>
          <w:kern w:val="0"/>
          <w:sz w:val="24"/>
          <w:szCs w:val="24"/>
          <w14:textFill>
            <w14:solidFill>
              <w14:schemeClr w14:val="tx1"/>
            </w14:solidFill>
          </w14:textFill>
        </w:rPr>
        <w:t>41.17%</w:t>
      </w:r>
      <w:r>
        <w:rPr>
          <w:rFonts w:hint="eastAsia" w:ascii="Times New Roman" w:hAnsi="Times New Roman" w:eastAsia="宋体" w:cs="Times New Roman"/>
          <w:color w:val="000000" w:themeColor="text1"/>
          <w:kern w:val="0"/>
          <w:sz w:val="24"/>
          <w:szCs w:val="24"/>
          <w14:textFill>
            <w14:solidFill>
              <w14:schemeClr w14:val="tx1"/>
            </w14:solidFill>
          </w14:textFill>
        </w:rPr>
        <w:t>，其主要原因系报告期公司盈利较上年同期增加所致；</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2"/>
        <w:jc w:val="left"/>
        <w:textAlignment w:val="auto"/>
        <w:rPr>
          <w:rFonts w:hint="default" w:ascii="Times New Roman" w:hAnsi="Times New Roman" w:eastAsia="宋体" w:cs="Times New Roman"/>
          <w:color w:val="000000" w:themeColor="text1"/>
          <w:kern w:val="0"/>
          <w:sz w:val="24"/>
          <w:szCs w:val="24"/>
          <w14:textFill>
            <w14:solidFill>
              <w14:schemeClr w14:val="tx1"/>
            </w14:solidFill>
          </w14:textFill>
        </w:rPr>
      </w:pPr>
      <w:r>
        <w:rPr>
          <w:rFonts w:hint="eastAsia" w:ascii="Times New Roman" w:hAnsi="Times New Roman" w:eastAsia="宋体" w:cs="Times New Roman"/>
          <w:color w:val="000000" w:themeColor="text1"/>
          <w:kern w:val="0"/>
          <w:sz w:val="24"/>
          <w:szCs w:val="24"/>
          <w14:textFill>
            <w14:solidFill>
              <w14:schemeClr w14:val="tx1"/>
            </w14:solidFill>
          </w14:textFill>
        </w:rPr>
        <w:t>（</w:t>
      </w:r>
      <w:r>
        <w:rPr>
          <w:rFonts w:hint="default" w:ascii="Times New Roman" w:hAnsi="Times New Roman" w:eastAsia="宋体" w:cs="Times New Roman"/>
          <w:color w:val="000000" w:themeColor="text1"/>
          <w:kern w:val="0"/>
          <w:sz w:val="24"/>
          <w:szCs w:val="24"/>
          <w14:textFill>
            <w14:solidFill>
              <w14:schemeClr w14:val="tx1"/>
            </w14:solidFill>
          </w14:textFill>
        </w:rPr>
        <w:t>7</w:t>
      </w:r>
      <w:r>
        <w:rPr>
          <w:rFonts w:hint="eastAsia" w:ascii="Times New Roman" w:hAnsi="Times New Roman" w:eastAsia="宋体" w:cs="Times New Roman"/>
          <w:color w:val="000000" w:themeColor="text1"/>
          <w:kern w:val="0"/>
          <w:sz w:val="24"/>
          <w:szCs w:val="24"/>
          <w14:textFill>
            <w14:solidFill>
              <w14:schemeClr w14:val="tx1"/>
            </w14:solidFill>
          </w14:textFill>
        </w:rPr>
        <w:t>）少数股东损益</w:t>
      </w:r>
      <w:r>
        <w:rPr>
          <w:rFonts w:hint="default" w:ascii="Times New Roman" w:hAnsi="Times New Roman" w:eastAsia="宋体" w:cs="Times New Roman"/>
          <w:color w:val="000000" w:themeColor="text1"/>
          <w:kern w:val="0"/>
          <w:sz w:val="24"/>
          <w:szCs w:val="24"/>
          <w14:textFill>
            <w14:solidFill>
              <w14:schemeClr w14:val="tx1"/>
            </w14:solidFill>
          </w14:textFill>
        </w:rPr>
        <w:t> 2023 </w:t>
      </w:r>
      <w:r>
        <w:rPr>
          <w:rFonts w:hint="eastAsia" w:ascii="Times New Roman" w:hAnsi="Times New Roman" w:eastAsia="宋体" w:cs="Times New Roman"/>
          <w:color w:val="000000" w:themeColor="text1"/>
          <w:kern w:val="0"/>
          <w:sz w:val="24"/>
          <w:szCs w:val="24"/>
          <w14:textFill>
            <w14:solidFill>
              <w14:schemeClr w14:val="tx1"/>
            </w14:solidFill>
          </w14:textFill>
        </w:rPr>
        <w:t>年</w:t>
      </w:r>
      <w:r>
        <w:rPr>
          <w:rFonts w:hint="default" w:ascii="Times New Roman" w:hAnsi="Times New Roman" w:eastAsia="宋体" w:cs="Times New Roman"/>
          <w:color w:val="000000" w:themeColor="text1"/>
          <w:kern w:val="0"/>
          <w:sz w:val="24"/>
          <w:szCs w:val="24"/>
          <w14:textFill>
            <w14:solidFill>
              <w14:schemeClr w14:val="tx1"/>
            </w14:solidFill>
          </w14:textFill>
        </w:rPr>
        <w:t xml:space="preserve"> 1-9 </w:t>
      </w:r>
      <w:r>
        <w:rPr>
          <w:rFonts w:hint="eastAsia" w:ascii="Times New Roman" w:hAnsi="Times New Roman" w:eastAsia="宋体" w:cs="Times New Roman"/>
          <w:color w:val="000000" w:themeColor="text1"/>
          <w:kern w:val="0"/>
          <w:sz w:val="24"/>
          <w:szCs w:val="24"/>
          <w14:textFill>
            <w14:solidFill>
              <w14:schemeClr w14:val="tx1"/>
            </w14:solidFill>
          </w14:textFill>
        </w:rPr>
        <w:t xml:space="preserve">月发生数为 </w:t>
      </w:r>
      <w:r>
        <w:rPr>
          <w:rFonts w:hint="default" w:ascii="Times New Roman" w:hAnsi="Times New Roman" w:eastAsia="宋体" w:cs="Times New Roman"/>
          <w:color w:val="000000" w:themeColor="text1"/>
          <w:kern w:val="0"/>
          <w:sz w:val="24"/>
          <w:szCs w:val="24"/>
          <w14:textFill>
            <w14:solidFill>
              <w14:schemeClr w14:val="tx1"/>
            </w14:solidFill>
          </w14:textFill>
        </w:rPr>
        <w:t>31,121,919.70 </w:t>
      </w:r>
      <w:r>
        <w:rPr>
          <w:rFonts w:hint="eastAsia" w:ascii="Times New Roman" w:hAnsi="Times New Roman" w:eastAsia="宋体" w:cs="Times New Roman"/>
          <w:color w:val="000000" w:themeColor="text1"/>
          <w:kern w:val="0"/>
          <w:sz w:val="24"/>
          <w:szCs w:val="24"/>
          <w14:textFill>
            <w14:solidFill>
              <w14:schemeClr w14:val="tx1"/>
            </w14:solidFill>
          </w14:textFill>
        </w:rPr>
        <w:t>元，比上期数增加</w:t>
      </w:r>
      <w:r>
        <w:rPr>
          <w:rFonts w:hint="default" w:ascii="Times New Roman" w:hAnsi="Times New Roman" w:eastAsia="宋体" w:cs="Times New Roman"/>
          <w:color w:val="000000" w:themeColor="text1"/>
          <w:kern w:val="0"/>
          <w:sz w:val="24"/>
          <w:szCs w:val="24"/>
          <w14:textFill>
            <w14:solidFill>
              <w14:schemeClr w14:val="tx1"/>
            </w14:solidFill>
          </w14:textFill>
        </w:rPr>
        <w:t>32,094,985.82</w:t>
      </w:r>
      <w:r>
        <w:rPr>
          <w:rFonts w:hint="eastAsia" w:ascii="Times New Roman" w:hAnsi="Times New Roman" w:eastAsia="宋体" w:cs="Times New Roman"/>
          <w:color w:val="000000" w:themeColor="text1"/>
          <w:kern w:val="0"/>
          <w:sz w:val="24"/>
          <w:szCs w:val="24"/>
          <w14:textFill>
            <w14:solidFill>
              <w14:schemeClr w14:val="tx1"/>
            </w14:solidFill>
          </w14:textFill>
        </w:rPr>
        <w:t>元，其主要原因系报告期公司所属非全资子公司盈利较上年同期增加所致。</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2"/>
        <w:jc w:val="left"/>
        <w:textAlignment w:val="auto"/>
        <w:rPr>
          <w:rFonts w:hint="default" w:ascii="Times New Roman" w:hAnsi="Times New Roman" w:eastAsia="宋体" w:cs="Times New Roman"/>
          <w:color w:val="000000" w:themeColor="text1"/>
          <w:kern w:val="0"/>
          <w:sz w:val="24"/>
          <w:szCs w:val="24"/>
          <w14:textFill>
            <w14:solidFill>
              <w14:schemeClr w14:val="tx1"/>
            </w14:solidFill>
          </w14:textFill>
        </w:rPr>
      </w:pPr>
      <w:r>
        <w:rPr>
          <w:rFonts w:hint="eastAsia" w:ascii="Times New Roman" w:hAnsi="Times New Roman" w:eastAsia="宋体" w:cs="Times New Roman"/>
          <w:b/>
          <w:bCs/>
          <w:color w:val="000000" w:themeColor="text1"/>
          <w:kern w:val="0"/>
          <w:sz w:val="24"/>
          <w:szCs w:val="24"/>
          <w14:textFill>
            <w14:solidFill>
              <w14:schemeClr w14:val="tx1"/>
            </w14:solidFill>
          </w14:textFill>
        </w:rPr>
        <w:t>3.</w:t>
      </w:r>
      <w:r>
        <w:rPr>
          <w:rFonts w:hint="eastAsia" w:ascii="Times New Roman" w:hAnsi="Times New Roman" w:eastAsia="宋体" w:cs="Times New Roman"/>
          <w:b/>
          <w:bCs/>
          <w:color w:val="000000" w:themeColor="text1"/>
          <w:kern w:val="0"/>
          <w:sz w:val="24"/>
          <w:szCs w:val="24"/>
          <w:lang w:val="en-US" w:eastAsia="zh-CN"/>
          <w14:textFill>
            <w14:solidFill>
              <w14:schemeClr w14:val="tx1"/>
            </w14:solidFill>
          </w14:textFill>
        </w:rPr>
        <w:t xml:space="preserve"> </w:t>
      </w:r>
      <w:r>
        <w:rPr>
          <w:rFonts w:hint="eastAsia" w:ascii="Times New Roman" w:hAnsi="Times New Roman" w:eastAsia="宋体" w:cs="Times New Roman"/>
          <w:b/>
          <w:bCs/>
          <w:color w:val="000000" w:themeColor="text1"/>
          <w:kern w:val="0"/>
          <w:sz w:val="24"/>
          <w:szCs w:val="24"/>
          <w14:textFill>
            <w14:solidFill>
              <w14:schemeClr w14:val="tx1"/>
            </w14:solidFill>
          </w14:textFill>
        </w:rPr>
        <w:t>现金流量表项目</w:t>
      </w:r>
      <w:bookmarkStart w:id="15" w:name="_GoBack"/>
      <w:bookmarkEnd w:id="15"/>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2"/>
        <w:jc w:val="left"/>
        <w:textAlignment w:val="auto"/>
        <w:rPr>
          <w:rFonts w:hint="default" w:ascii="Times New Roman" w:hAnsi="Times New Roman" w:eastAsia="宋体" w:cs="Times New Roman"/>
          <w:color w:val="000000" w:themeColor="text1"/>
          <w:kern w:val="0"/>
          <w:sz w:val="24"/>
          <w:szCs w:val="24"/>
          <w14:textFill>
            <w14:solidFill>
              <w14:schemeClr w14:val="tx1"/>
            </w14:solidFill>
          </w14:textFill>
        </w:rPr>
      </w:pPr>
      <w:r>
        <w:rPr>
          <w:rFonts w:hint="eastAsia" w:ascii="Times New Roman" w:hAnsi="Times New Roman" w:eastAsia="宋体" w:cs="Times New Roman"/>
          <w:color w:val="000000" w:themeColor="text1"/>
          <w:kern w:val="0"/>
          <w:sz w:val="24"/>
          <w:szCs w:val="24"/>
          <w14:textFill>
            <w14:solidFill>
              <w14:schemeClr w14:val="tx1"/>
            </w14:solidFill>
          </w14:textFill>
        </w:rPr>
        <w:t>（</w:t>
      </w:r>
      <w:r>
        <w:rPr>
          <w:rFonts w:hint="default" w:ascii="Times New Roman" w:hAnsi="Times New Roman" w:eastAsia="宋体" w:cs="Times New Roman"/>
          <w:color w:val="000000" w:themeColor="text1"/>
          <w:kern w:val="0"/>
          <w:sz w:val="24"/>
          <w:szCs w:val="24"/>
          <w14:textFill>
            <w14:solidFill>
              <w14:schemeClr w14:val="tx1"/>
            </w14:solidFill>
          </w14:textFill>
        </w:rPr>
        <w:t>1</w:t>
      </w:r>
      <w:r>
        <w:rPr>
          <w:rFonts w:hint="eastAsia" w:ascii="Times New Roman" w:hAnsi="Times New Roman" w:eastAsia="宋体" w:cs="Times New Roman"/>
          <w:color w:val="000000" w:themeColor="text1"/>
          <w:kern w:val="0"/>
          <w:sz w:val="24"/>
          <w:szCs w:val="24"/>
          <w14:textFill>
            <w14:solidFill>
              <w14:schemeClr w14:val="tx1"/>
            </w14:solidFill>
          </w14:textFill>
        </w:rPr>
        <w:t>）取得投资收益收到的现金</w:t>
      </w:r>
      <w:r>
        <w:rPr>
          <w:rFonts w:hint="default" w:ascii="Times New Roman" w:hAnsi="Times New Roman" w:eastAsia="宋体" w:cs="Times New Roman"/>
          <w:color w:val="000000" w:themeColor="text1"/>
          <w:kern w:val="0"/>
          <w:sz w:val="24"/>
          <w:szCs w:val="24"/>
          <w14:textFill>
            <w14:solidFill>
              <w14:schemeClr w14:val="tx1"/>
            </w14:solidFill>
          </w14:textFill>
        </w:rPr>
        <w:t>2023</w:t>
      </w:r>
      <w:r>
        <w:rPr>
          <w:rFonts w:hint="eastAsia" w:ascii="Times New Roman" w:hAnsi="Times New Roman" w:eastAsia="宋体" w:cs="Times New Roman"/>
          <w:color w:val="000000" w:themeColor="text1"/>
          <w:kern w:val="0"/>
          <w:sz w:val="24"/>
          <w:szCs w:val="24"/>
          <w14:textFill>
            <w14:solidFill>
              <w14:schemeClr w14:val="tx1"/>
            </w14:solidFill>
          </w14:textFill>
        </w:rPr>
        <w:t>年</w:t>
      </w:r>
      <w:r>
        <w:rPr>
          <w:rFonts w:hint="default" w:ascii="Times New Roman" w:hAnsi="Times New Roman" w:eastAsia="宋体" w:cs="Times New Roman"/>
          <w:color w:val="000000" w:themeColor="text1"/>
          <w:kern w:val="0"/>
          <w:sz w:val="24"/>
          <w:szCs w:val="24"/>
          <w14:textFill>
            <w14:solidFill>
              <w14:schemeClr w14:val="tx1"/>
            </w14:solidFill>
          </w14:textFill>
        </w:rPr>
        <w:t>1-9</w:t>
      </w:r>
      <w:r>
        <w:rPr>
          <w:rFonts w:hint="eastAsia" w:ascii="Times New Roman" w:hAnsi="Times New Roman" w:eastAsia="宋体" w:cs="Times New Roman"/>
          <w:color w:val="000000" w:themeColor="text1"/>
          <w:kern w:val="0"/>
          <w:sz w:val="24"/>
          <w:szCs w:val="24"/>
          <w14:textFill>
            <w14:solidFill>
              <w14:schemeClr w14:val="tx1"/>
            </w14:solidFill>
          </w14:textFill>
        </w:rPr>
        <w:t>月发生数为</w:t>
      </w:r>
      <w:r>
        <w:rPr>
          <w:rFonts w:hint="default" w:ascii="Times New Roman" w:hAnsi="Times New Roman" w:eastAsia="宋体" w:cs="Times New Roman"/>
          <w:color w:val="000000" w:themeColor="text1"/>
          <w:kern w:val="0"/>
          <w:sz w:val="24"/>
          <w:szCs w:val="24"/>
          <w14:textFill>
            <w14:solidFill>
              <w14:schemeClr w14:val="tx1"/>
            </w14:solidFill>
          </w14:textFill>
        </w:rPr>
        <w:t xml:space="preserve">16,068,996.49 </w:t>
      </w:r>
      <w:r>
        <w:rPr>
          <w:rFonts w:hint="eastAsia" w:ascii="Times New Roman" w:hAnsi="Times New Roman" w:eastAsia="宋体" w:cs="Times New Roman"/>
          <w:color w:val="000000" w:themeColor="text1"/>
          <w:kern w:val="0"/>
          <w:sz w:val="24"/>
          <w:szCs w:val="24"/>
          <w14:textFill>
            <w14:solidFill>
              <w14:schemeClr w14:val="tx1"/>
            </w14:solidFill>
          </w14:textFill>
        </w:rPr>
        <w:t>元，比上期数减少</w:t>
      </w:r>
      <w:r>
        <w:rPr>
          <w:rFonts w:hint="default" w:ascii="Times New Roman" w:hAnsi="Times New Roman" w:eastAsia="宋体" w:cs="Times New Roman"/>
          <w:color w:val="000000" w:themeColor="text1"/>
          <w:kern w:val="0"/>
          <w:sz w:val="24"/>
          <w:szCs w:val="24"/>
          <w14:textFill>
            <w14:solidFill>
              <w14:schemeClr w14:val="tx1"/>
            </w14:solidFill>
          </w14:textFill>
        </w:rPr>
        <w:t>86.50%</w:t>
      </w:r>
      <w:r>
        <w:rPr>
          <w:rFonts w:hint="eastAsia" w:ascii="Times New Roman" w:hAnsi="Times New Roman" w:eastAsia="宋体" w:cs="Times New Roman"/>
          <w:color w:val="000000" w:themeColor="text1"/>
          <w:kern w:val="0"/>
          <w:sz w:val="24"/>
          <w:szCs w:val="24"/>
          <w14:textFill>
            <w14:solidFill>
              <w14:schemeClr w14:val="tx1"/>
            </w14:solidFill>
          </w14:textFill>
        </w:rPr>
        <w:t>，主要原因系报告期公司收到参股公司分红同比减少所致；</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2"/>
        <w:jc w:val="left"/>
        <w:textAlignment w:val="auto"/>
        <w:rPr>
          <w:rFonts w:hint="default" w:ascii="Times New Roman" w:hAnsi="Times New Roman" w:eastAsia="宋体" w:cs="Times New Roman"/>
          <w:color w:val="000000" w:themeColor="text1"/>
          <w:kern w:val="0"/>
          <w:sz w:val="24"/>
          <w:szCs w:val="24"/>
          <w14:textFill>
            <w14:solidFill>
              <w14:schemeClr w14:val="tx1"/>
            </w14:solidFill>
          </w14:textFill>
        </w:rPr>
      </w:pPr>
      <w:r>
        <w:rPr>
          <w:rFonts w:hint="eastAsia" w:ascii="Times New Roman" w:hAnsi="Times New Roman" w:eastAsia="宋体" w:cs="Times New Roman"/>
          <w:color w:val="000000" w:themeColor="text1"/>
          <w:kern w:val="0"/>
          <w:sz w:val="24"/>
          <w:szCs w:val="24"/>
          <w14:textFill>
            <w14:solidFill>
              <w14:schemeClr w14:val="tx1"/>
            </w14:solidFill>
          </w14:textFill>
        </w:rPr>
        <w:t>（</w:t>
      </w:r>
      <w:r>
        <w:rPr>
          <w:rFonts w:hint="default" w:ascii="Times New Roman" w:hAnsi="Times New Roman" w:eastAsia="宋体" w:cs="Times New Roman"/>
          <w:color w:val="000000" w:themeColor="text1"/>
          <w:kern w:val="0"/>
          <w:sz w:val="24"/>
          <w:szCs w:val="24"/>
          <w14:textFill>
            <w14:solidFill>
              <w14:schemeClr w14:val="tx1"/>
            </w14:solidFill>
          </w14:textFill>
        </w:rPr>
        <w:t>2</w:t>
      </w:r>
      <w:r>
        <w:rPr>
          <w:rFonts w:hint="eastAsia" w:ascii="Times New Roman" w:hAnsi="Times New Roman" w:eastAsia="宋体" w:cs="Times New Roman"/>
          <w:color w:val="000000" w:themeColor="text1"/>
          <w:kern w:val="0"/>
          <w:sz w:val="24"/>
          <w:szCs w:val="24"/>
          <w14:textFill>
            <w14:solidFill>
              <w14:schemeClr w14:val="tx1"/>
            </w14:solidFill>
          </w14:textFill>
        </w:rPr>
        <w:t>）处置固定资产、无形资产和其他长期资产收回的现金净额</w:t>
      </w:r>
      <w:r>
        <w:rPr>
          <w:rFonts w:hint="default" w:ascii="Times New Roman" w:hAnsi="Times New Roman" w:eastAsia="宋体" w:cs="Times New Roman"/>
          <w:color w:val="000000" w:themeColor="text1"/>
          <w:kern w:val="0"/>
          <w:sz w:val="24"/>
          <w:szCs w:val="24"/>
          <w14:textFill>
            <w14:solidFill>
              <w14:schemeClr w14:val="tx1"/>
            </w14:solidFill>
          </w14:textFill>
        </w:rPr>
        <w:t>2023</w:t>
      </w:r>
      <w:r>
        <w:rPr>
          <w:rFonts w:hint="eastAsia" w:ascii="Times New Roman" w:hAnsi="Times New Roman" w:eastAsia="宋体" w:cs="Times New Roman"/>
          <w:color w:val="000000" w:themeColor="text1"/>
          <w:kern w:val="0"/>
          <w:sz w:val="24"/>
          <w:szCs w:val="24"/>
          <w14:textFill>
            <w14:solidFill>
              <w14:schemeClr w14:val="tx1"/>
            </w14:solidFill>
          </w14:textFill>
        </w:rPr>
        <w:t>年</w:t>
      </w:r>
      <w:r>
        <w:rPr>
          <w:rFonts w:hint="default" w:ascii="Times New Roman" w:hAnsi="Times New Roman" w:eastAsia="宋体" w:cs="Times New Roman"/>
          <w:color w:val="000000" w:themeColor="text1"/>
          <w:kern w:val="0"/>
          <w:sz w:val="24"/>
          <w:szCs w:val="24"/>
          <w14:textFill>
            <w14:solidFill>
              <w14:schemeClr w14:val="tx1"/>
            </w14:solidFill>
          </w14:textFill>
        </w:rPr>
        <w:t>1-9</w:t>
      </w:r>
      <w:r>
        <w:rPr>
          <w:rFonts w:hint="eastAsia" w:ascii="Times New Roman" w:hAnsi="Times New Roman" w:eastAsia="宋体" w:cs="Times New Roman"/>
          <w:color w:val="000000" w:themeColor="text1"/>
          <w:kern w:val="0"/>
          <w:sz w:val="24"/>
          <w:szCs w:val="24"/>
          <w14:textFill>
            <w14:solidFill>
              <w14:schemeClr w14:val="tx1"/>
            </w14:solidFill>
          </w14:textFill>
        </w:rPr>
        <w:t>月发生数为</w:t>
      </w:r>
      <w:r>
        <w:rPr>
          <w:rFonts w:hint="default" w:ascii="Times New Roman" w:hAnsi="Times New Roman" w:eastAsia="宋体" w:cs="Times New Roman"/>
          <w:color w:val="000000" w:themeColor="text1"/>
          <w:kern w:val="0"/>
          <w:sz w:val="24"/>
          <w:szCs w:val="24"/>
          <w14:textFill>
            <w14:solidFill>
              <w14:schemeClr w14:val="tx1"/>
            </w14:solidFill>
          </w14:textFill>
        </w:rPr>
        <w:t xml:space="preserve">4,440,994.85 </w:t>
      </w:r>
      <w:r>
        <w:rPr>
          <w:rFonts w:hint="eastAsia" w:ascii="Times New Roman" w:hAnsi="Times New Roman" w:eastAsia="宋体" w:cs="Times New Roman"/>
          <w:color w:val="000000" w:themeColor="text1"/>
          <w:kern w:val="0"/>
          <w:sz w:val="24"/>
          <w:szCs w:val="24"/>
          <w14:textFill>
            <w14:solidFill>
              <w14:schemeClr w14:val="tx1"/>
            </w14:solidFill>
          </w14:textFill>
        </w:rPr>
        <w:t>元，比上期数增加</w:t>
      </w:r>
      <w:r>
        <w:rPr>
          <w:rFonts w:hint="default" w:ascii="Times New Roman" w:hAnsi="Times New Roman" w:eastAsia="宋体" w:cs="Times New Roman"/>
          <w:color w:val="000000" w:themeColor="text1"/>
          <w:kern w:val="0"/>
          <w:sz w:val="24"/>
          <w:szCs w:val="24"/>
          <w14:textFill>
            <w14:solidFill>
              <w14:schemeClr w14:val="tx1"/>
            </w14:solidFill>
          </w14:textFill>
        </w:rPr>
        <w:t>283.58%</w:t>
      </w:r>
      <w:r>
        <w:rPr>
          <w:rFonts w:hint="eastAsia" w:ascii="Times New Roman" w:hAnsi="Times New Roman" w:eastAsia="宋体" w:cs="Times New Roman"/>
          <w:color w:val="000000" w:themeColor="text1"/>
          <w:kern w:val="0"/>
          <w:sz w:val="24"/>
          <w:szCs w:val="24"/>
          <w14:textFill>
            <w14:solidFill>
              <w14:schemeClr w14:val="tx1"/>
            </w14:solidFill>
          </w14:textFill>
        </w:rPr>
        <w:t>，主要原因系报告期公司所属电厂处置固定资产现金流入增加所致；</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2"/>
        <w:jc w:val="left"/>
        <w:textAlignment w:val="auto"/>
        <w:rPr>
          <w:rFonts w:hint="default" w:ascii="Times New Roman" w:hAnsi="Times New Roman" w:eastAsia="宋体" w:cs="Times New Roman"/>
          <w:color w:val="000000" w:themeColor="text1"/>
          <w:kern w:val="0"/>
          <w:sz w:val="24"/>
          <w:szCs w:val="24"/>
          <w14:textFill>
            <w14:solidFill>
              <w14:schemeClr w14:val="tx1"/>
            </w14:solidFill>
          </w14:textFill>
        </w:rPr>
      </w:pPr>
      <w:r>
        <w:rPr>
          <w:rFonts w:hint="eastAsia" w:ascii="Times New Roman" w:hAnsi="Times New Roman" w:eastAsia="宋体" w:cs="Times New Roman"/>
          <w:color w:val="000000" w:themeColor="text1"/>
          <w:kern w:val="0"/>
          <w:sz w:val="24"/>
          <w:szCs w:val="24"/>
          <w14:textFill>
            <w14:solidFill>
              <w14:schemeClr w14:val="tx1"/>
            </w14:solidFill>
          </w14:textFill>
        </w:rPr>
        <w:t>（</w:t>
      </w:r>
      <w:r>
        <w:rPr>
          <w:rFonts w:hint="default" w:ascii="Times New Roman" w:hAnsi="Times New Roman" w:eastAsia="宋体" w:cs="Times New Roman"/>
          <w:color w:val="000000" w:themeColor="text1"/>
          <w:kern w:val="0"/>
          <w:sz w:val="24"/>
          <w:szCs w:val="24"/>
          <w14:textFill>
            <w14:solidFill>
              <w14:schemeClr w14:val="tx1"/>
            </w14:solidFill>
          </w14:textFill>
        </w:rPr>
        <w:t>3</w:t>
      </w:r>
      <w:r>
        <w:rPr>
          <w:rFonts w:hint="eastAsia" w:ascii="Times New Roman" w:hAnsi="Times New Roman" w:eastAsia="宋体" w:cs="Times New Roman"/>
          <w:color w:val="000000" w:themeColor="text1"/>
          <w:kern w:val="0"/>
          <w:sz w:val="24"/>
          <w:szCs w:val="24"/>
          <w14:textFill>
            <w14:solidFill>
              <w14:schemeClr w14:val="tx1"/>
            </w14:solidFill>
          </w14:textFill>
        </w:rPr>
        <w:t>）收到其他与投资活动有关的现金</w:t>
      </w:r>
      <w:r>
        <w:rPr>
          <w:rFonts w:hint="default" w:ascii="Times New Roman" w:hAnsi="Times New Roman" w:eastAsia="宋体" w:cs="Times New Roman"/>
          <w:color w:val="000000" w:themeColor="text1"/>
          <w:kern w:val="0"/>
          <w:sz w:val="24"/>
          <w:szCs w:val="24"/>
          <w14:textFill>
            <w14:solidFill>
              <w14:schemeClr w14:val="tx1"/>
            </w14:solidFill>
          </w14:textFill>
        </w:rPr>
        <w:t>2023</w:t>
      </w:r>
      <w:r>
        <w:rPr>
          <w:rFonts w:hint="eastAsia" w:ascii="Times New Roman" w:hAnsi="Times New Roman" w:eastAsia="宋体" w:cs="Times New Roman"/>
          <w:color w:val="000000" w:themeColor="text1"/>
          <w:kern w:val="0"/>
          <w:sz w:val="24"/>
          <w:szCs w:val="24"/>
          <w14:textFill>
            <w14:solidFill>
              <w14:schemeClr w14:val="tx1"/>
            </w14:solidFill>
          </w14:textFill>
        </w:rPr>
        <w:t>年</w:t>
      </w:r>
      <w:r>
        <w:rPr>
          <w:rFonts w:hint="default" w:ascii="Times New Roman" w:hAnsi="Times New Roman" w:eastAsia="宋体" w:cs="Times New Roman"/>
          <w:color w:val="000000" w:themeColor="text1"/>
          <w:kern w:val="0"/>
          <w:sz w:val="24"/>
          <w:szCs w:val="24"/>
          <w14:textFill>
            <w14:solidFill>
              <w14:schemeClr w14:val="tx1"/>
            </w14:solidFill>
          </w14:textFill>
        </w:rPr>
        <w:t>1-9</w:t>
      </w:r>
      <w:r>
        <w:rPr>
          <w:rFonts w:hint="eastAsia" w:ascii="Times New Roman" w:hAnsi="Times New Roman" w:eastAsia="宋体" w:cs="Times New Roman"/>
          <w:color w:val="000000" w:themeColor="text1"/>
          <w:kern w:val="0"/>
          <w:sz w:val="24"/>
          <w:szCs w:val="24"/>
          <w14:textFill>
            <w14:solidFill>
              <w14:schemeClr w14:val="tx1"/>
            </w14:solidFill>
          </w14:textFill>
        </w:rPr>
        <w:t>月发生数为</w:t>
      </w:r>
      <w:r>
        <w:rPr>
          <w:rFonts w:hint="default" w:ascii="Times New Roman" w:hAnsi="Times New Roman" w:eastAsia="宋体" w:cs="Times New Roman"/>
          <w:color w:val="000000" w:themeColor="text1"/>
          <w:kern w:val="0"/>
          <w:sz w:val="24"/>
          <w:szCs w:val="24"/>
          <w14:textFill>
            <w14:solidFill>
              <w14:schemeClr w14:val="tx1"/>
            </w14:solidFill>
          </w14:textFill>
        </w:rPr>
        <w:t>637,095.00</w:t>
      </w:r>
      <w:r>
        <w:rPr>
          <w:rFonts w:hint="eastAsia" w:ascii="Times New Roman" w:hAnsi="Times New Roman" w:eastAsia="宋体" w:cs="Times New Roman"/>
          <w:color w:val="000000" w:themeColor="text1"/>
          <w:kern w:val="0"/>
          <w:sz w:val="24"/>
          <w:szCs w:val="24"/>
          <w14:textFill>
            <w14:solidFill>
              <w14:schemeClr w14:val="tx1"/>
            </w14:solidFill>
          </w14:textFill>
        </w:rPr>
        <w:t>元，比上期数减少</w:t>
      </w:r>
      <w:r>
        <w:rPr>
          <w:rFonts w:hint="default" w:ascii="Times New Roman" w:hAnsi="Times New Roman" w:eastAsia="宋体" w:cs="Times New Roman"/>
          <w:color w:val="000000" w:themeColor="text1"/>
          <w:kern w:val="0"/>
          <w:sz w:val="24"/>
          <w:szCs w:val="24"/>
          <w14:textFill>
            <w14:solidFill>
              <w14:schemeClr w14:val="tx1"/>
            </w14:solidFill>
          </w14:textFill>
        </w:rPr>
        <w:t>99.90%</w:t>
      </w:r>
      <w:r>
        <w:rPr>
          <w:rFonts w:hint="eastAsia" w:ascii="Times New Roman" w:hAnsi="Times New Roman" w:eastAsia="宋体" w:cs="Times New Roman"/>
          <w:color w:val="000000" w:themeColor="text1"/>
          <w:kern w:val="0"/>
          <w:sz w:val="24"/>
          <w:szCs w:val="24"/>
          <w14:textFill>
            <w14:solidFill>
              <w14:schemeClr w14:val="tx1"/>
            </w14:solidFill>
          </w14:textFill>
        </w:rPr>
        <w:t>，主要原因系报告期公司收回参股公司投资较上期减少所致；</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2"/>
        <w:jc w:val="left"/>
        <w:textAlignment w:val="auto"/>
        <w:rPr>
          <w:rFonts w:hint="default" w:ascii="Times New Roman" w:hAnsi="Times New Roman" w:eastAsia="宋体" w:cs="Times New Roman"/>
          <w:color w:val="000000" w:themeColor="text1"/>
          <w:kern w:val="0"/>
          <w:sz w:val="24"/>
          <w:szCs w:val="24"/>
          <w14:textFill>
            <w14:solidFill>
              <w14:schemeClr w14:val="tx1"/>
            </w14:solidFill>
          </w14:textFill>
        </w:rPr>
      </w:pPr>
      <w:r>
        <w:rPr>
          <w:rFonts w:hint="eastAsia" w:ascii="Times New Roman" w:hAnsi="Times New Roman" w:eastAsia="宋体" w:cs="Times New Roman"/>
          <w:color w:val="000000" w:themeColor="text1"/>
          <w:kern w:val="0"/>
          <w:sz w:val="24"/>
          <w:szCs w:val="24"/>
          <w14:textFill>
            <w14:solidFill>
              <w14:schemeClr w14:val="tx1"/>
            </w14:solidFill>
          </w14:textFill>
        </w:rPr>
        <w:t>（</w:t>
      </w:r>
      <w:r>
        <w:rPr>
          <w:rFonts w:hint="default" w:ascii="Times New Roman" w:hAnsi="Times New Roman" w:eastAsia="宋体" w:cs="Times New Roman"/>
          <w:color w:val="000000" w:themeColor="text1"/>
          <w:kern w:val="0"/>
          <w:sz w:val="24"/>
          <w:szCs w:val="24"/>
          <w14:textFill>
            <w14:solidFill>
              <w14:schemeClr w14:val="tx1"/>
            </w14:solidFill>
          </w14:textFill>
        </w:rPr>
        <w:t>4</w:t>
      </w:r>
      <w:r>
        <w:rPr>
          <w:rFonts w:hint="eastAsia" w:ascii="Times New Roman" w:hAnsi="Times New Roman" w:eastAsia="宋体" w:cs="Times New Roman"/>
          <w:color w:val="000000" w:themeColor="text1"/>
          <w:kern w:val="0"/>
          <w:sz w:val="24"/>
          <w:szCs w:val="24"/>
          <w14:textFill>
            <w14:solidFill>
              <w14:schemeClr w14:val="tx1"/>
            </w14:solidFill>
          </w14:textFill>
        </w:rPr>
        <w:t>）吸收投资收到的现金</w:t>
      </w:r>
      <w:r>
        <w:rPr>
          <w:rFonts w:hint="default" w:ascii="Times New Roman" w:hAnsi="Times New Roman" w:eastAsia="宋体" w:cs="Times New Roman"/>
          <w:color w:val="000000" w:themeColor="text1"/>
          <w:kern w:val="0"/>
          <w:sz w:val="24"/>
          <w:szCs w:val="24"/>
          <w14:textFill>
            <w14:solidFill>
              <w14:schemeClr w14:val="tx1"/>
            </w14:solidFill>
          </w14:textFill>
        </w:rPr>
        <w:t>2023</w:t>
      </w:r>
      <w:r>
        <w:rPr>
          <w:rFonts w:hint="eastAsia" w:ascii="Times New Roman" w:hAnsi="Times New Roman" w:eastAsia="宋体" w:cs="Times New Roman"/>
          <w:color w:val="000000" w:themeColor="text1"/>
          <w:kern w:val="0"/>
          <w:sz w:val="24"/>
          <w:szCs w:val="24"/>
          <w14:textFill>
            <w14:solidFill>
              <w14:schemeClr w14:val="tx1"/>
            </w14:solidFill>
          </w14:textFill>
        </w:rPr>
        <w:t>年</w:t>
      </w:r>
      <w:r>
        <w:rPr>
          <w:rFonts w:hint="default" w:ascii="Times New Roman" w:hAnsi="Times New Roman" w:eastAsia="宋体" w:cs="Times New Roman"/>
          <w:color w:val="000000" w:themeColor="text1"/>
          <w:kern w:val="0"/>
          <w:sz w:val="24"/>
          <w:szCs w:val="24"/>
          <w14:textFill>
            <w14:solidFill>
              <w14:schemeClr w14:val="tx1"/>
            </w14:solidFill>
          </w14:textFill>
        </w:rPr>
        <w:t xml:space="preserve">1-9 </w:t>
      </w:r>
      <w:r>
        <w:rPr>
          <w:rFonts w:hint="eastAsia" w:ascii="Times New Roman" w:hAnsi="Times New Roman" w:eastAsia="宋体" w:cs="Times New Roman"/>
          <w:color w:val="000000" w:themeColor="text1"/>
          <w:kern w:val="0"/>
          <w:sz w:val="24"/>
          <w:szCs w:val="24"/>
          <w14:textFill>
            <w14:solidFill>
              <w14:schemeClr w14:val="tx1"/>
            </w14:solidFill>
          </w14:textFill>
        </w:rPr>
        <w:t>月发生数为</w:t>
      </w:r>
      <w:r>
        <w:rPr>
          <w:rFonts w:hint="default" w:ascii="Times New Roman" w:hAnsi="Times New Roman" w:eastAsia="宋体" w:cs="Times New Roman"/>
          <w:color w:val="000000" w:themeColor="text1"/>
          <w:kern w:val="0"/>
          <w:sz w:val="24"/>
          <w:szCs w:val="24"/>
          <w14:textFill>
            <w14:solidFill>
              <w14:schemeClr w14:val="tx1"/>
            </w14:solidFill>
          </w14:textFill>
        </w:rPr>
        <w:t>54,390,961.00</w:t>
      </w:r>
      <w:r>
        <w:rPr>
          <w:rFonts w:hint="eastAsia" w:ascii="Times New Roman" w:hAnsi="Times New Roman" w:eastAsia="宋体" w:cs="Times New Roman"/>
          <w:color w:val="000000" w:themeColor="text1"/>
          <w:kern w:val="0"/>
          <w:sz w:val="24"/>
          <w:szCs w:val="24"/>
          <w14:textFill>
            <w14:solidFill>
              <w14:schemeClr w14:val="tx1"/>
            </w14:solidFill>
          </w14:textFill>
        </w:rPr>
        <w:t>元，比上期数减少</w:t>
      </w:r>
      <w:r>
        <w:rPr>
          <w:rFonts w:hint="default" w:ascii="Times New Roman" w:hAnsi="Times New Roman" w:eastAsia="宋体" w:cs="Times New Roman"/>
          <w:color w:val="000000" w:themeColor="text1"/>
          <w:kern w:val="0"/>
          <w:sz w:val="24"/>
          <w:szCs w:val="24"/>
          <w14:textFill>
            <w14:solidFill>
              <w14:schemeClr w14:val="tx1"/>
            </w14:solidFill>
          </w14:textFill>
        </w:rPr>
        <w:t>40.13%</w:t>
      </w:r>
      <w:r>
        <w:rPr>
          <w:rFonts w:hint="eastAsia" w:ascii="Times New Roman" w:hAnsi="Times New Roman" w:eastAsia="宋体" w:cs="Times New Roman"/>
          <w:color w:val="000000" w:themeColor="text1"/>
          <w:kern w:val="0"/>
          <w:sz w:val="24"/>
          <w:szCs w:val="24"/>
          <w14:textFill>
            <w14:solidFill>
              <w14:schemeClr w14:val="tx1"/>
            </w14:solidFill>
          </w14:textFill>
        </w:rPr>
        <w:t>，主要原因系报告期公司所属部分光伏公司取得少数股东投资较上期减少所致；</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2"/>
        <w:jc w:val="left"/>
        <w:textAlignment w:val="auto"/>
        <w:rPr>
          <w:rFonts w:hint="default" w:ascii="Times New Roman" w:hAnsi="Times New Roman" w:eastAsia="宋体" w:cs="Times New Roman"/>
          <w:color w:val="000000" w:themeColor="text1"/>
          <w:kern w:val="0"/>
          <w:sz w:val="24"/>
          <w:szCs w:val="24"/>
          <w14:textFill>
            <w14:solidFill>
              <w14:schemeClr w14:val="tx1"/>
            </w14:solidFill>
          </w14:textFill>
        </w:rPr>
      </w:pPr>
      <w:r>
        <w:rPr>
          <w:rFonts w:hint="eastAsia" w:ascii="Times New Roman" w:hAnsi="Times New Roman" w:eastAsia="宋体" w:cs="Times New Roman"/>
          <w:color w:val="000000" w:themeColor="text1"/>
          <w:kern w:val="0"/>
          <w:sz w:val="24"/>
          <w:szCs w:val="24"/>
          <w14:textFill>
            <w14:solidFill>
              <w14:schemeClr w14:val="tx1"/>
            </w14:solidFill>
          </w14:textFill>
        </w:rPr>
        <w:t>（</w:t>
      </w:r>
      <w:r>
        <w:rPr>
          <w:rFonts w:hint="default" w:ascii="Times New Roman" w:hAnsi="Times New Roman" w:eastAsia="宋体" w:cs="Times New Roman"/>
          <w:color w:val="000000" w:themeColor="text1"/>
          <w:kern w:val="0"/>
          <w:sz w:val="24"/>
          <w:szCs w:val="24"/>
          <w14:textFill>
            <w14:solidFill>
              <w14:schemeClr w14:val="tx1"/>
            </w14:solidFill>
          </w14:textFill>
        </w:rPr>
        <w:t>5</w:t>
      </w:r>
      <w:r>
        <w:rPr>
          <w:rFonts w:hint="eastAsia" w:ascii="Times New Roman" w:hAnsi="Times New Roman" w:eastAsia="宋体" w:cs="Times New Roman"/>
          <w:color w:val="000000" w:themeColor="text1"/>
          <w:kern w:val="0"/>
          <w:sz w:val="24"/>
          <w:szCs w:val="24"/>
          <w14:textFill>
            <w14:solidFill>
              <w14:schemeClr w14:val="tx1"/>
            </w14:solidFill>
          </w14:textFill>
        </w:rPr>
        <w:t>）分配股利、利润或偿付利息支付的现金</w:t>
      </w:r>
      <w:r>
        <w:rPr>
          <w:rFonts w:hint="default" w:ascii="Times New Roman" w:hAnsi="Times New Roman" w:eastAsia="宋体" w:cs="Times New Roman"/>
          <w:color w:val="000000" w:themeColor="text1"/>
          <w:kern w:val="0"/>
          <w:sz w:val="24"/>
          <w:szCs w:val="24"/>
          <w14:textFill>
            <w14:solidFill>
              <w14:schemeClr w14:val="tx1"/>
            </w14:solidFill>
          </w14:textFill>
        </w:rPr>
        <w:t>2023</w:t>
      </w:r>
      <w:r>
        <w:rPr>
          <w:rFonts w:hint="eastAsia" w:ascii="Times New Roman" w:hAnsi="Times New Roman" w:eastAsia="宋体" w:cs="Times New Roman"/>
          <w:color w:val="000000" w:themeColor="text1"/>
          <w:kern w:val="0"/>
          <w:sz w:val="24"/>
          <w:szCs w:val="24"/>
          <w14:textFill>
            <w14:solidFill>
              <w14:schemeClr w14:val="tx1"/>
            </w14:solidFill>
          </w14:textFill>
        </w:rPr>
        <w:t>年</w:t>
      </w:r>
      <w:r>
        <w:rPr>
          <w:rFonts w:hint="default" w:ascii="Times New Roman" w:hAnsi="Times New Roman" w:eastAsia="宋体" w:cs="Times New Roman"/>
          <w:color w:val="000000" w:themeColor="text1"/>
          <w:kern w:val="0"/>
          <w:sz w:val="24"/>
          <w:szCs w:val="24"/>
          <w14:textFill>
            <w14:solidFill>
              <w14:schemeClr w14:val="tx1"/>
            </w14:solidFill>
          </w14:textFill>
        </w:rPr>
        <w:t>1-9</w:t>
      </w:r>
      <w:r>
        <w:rPr>
          <w:rFonts w:hint="eastAsia" w:ascii="Times New Roman" w:hAnsi="Times New Roman" w:eastAsia="宋体" w:cs="Times New Roman"/>
          <w:color w:val="000000" w:themeColor="text1"/>
          <w:kern w:val="0"/>
          <w:sz w:val="24"/>
          <w:szCs w:val="24"/>
          <w14:textFill>
            <w14:solidFill>
              <w14:schemeClr w14:val="tx1"/>
            </w14:solidFill>
          </w14:textFill>
        </w:rPr>
        <w:t>月发生数为</w:t>
      </w:r>
      <w:r>
        <w:rPr>
          <w:rFonts w:hint="default" w:ascii="Times New Roman" w:hAnsi="Times New Roman" w:eastAsia="宋体" w:cs="Times New Roman"/>
          <w:color w:val="000000" w:themeColor="text1"/>
          <w:kern w:val="0"/>
          <w:sz w:val="24"/>
          <w:szCs w:val="24"/>
          <w14:textFill>
            <w14:solidFill>
              <w14:schemeClr w14:val="tx1"/>
            </w14:solidFill>
          </w14:textFill>
        </w:rPr>
        <w:t xml:space="preserve">443,557,185.10 </w:t>
      </w:r>
      <w:r>
        <w:rPr>
          <w:rFonts w:hint="eastAsia" w:ascii="Times New Roman" w:hAnsi="Times New Roman" w:eastAsia="宋体" w:cs="Times New Roman"/>
          <w:color w:val="000000" w:themeColor="text1"/>
          <w:kern w:val="0"/>
          <w:sz w:val="24"/>
          <w:szCs w:val="24"/>
          <w14:textFill>
            <w14:solidFill>
              <w14:schemeClr w14:val="tx1"/>
            </w14:solidFill>
          </w14:textFill>
        </w:rPr>
        <w:t>元，比上期数增加</w:t>
      </w:r>
      <w:r>
        <w:rPr>
          <w:rFonts w:hint="default" w:ascii="Times New Roman" w:hAnsi="Times New Roman" w:eastAsia="宋体" w:cs="Times New Roman"/>
          <w:color w:val="000000" w:themeColor="text1"/>
          <w:kern w:val="0"/>
          <w:sz w:val="24"/>
          <w:szCs w:val="24"/>
          <w14:textFill>
            <w14:solidFill>
              <w14:schemeClr w14:val="tx1"/>
            </w14:solidFill>
          </w14:textFill>
        </w:rPr>
        <w:t>59.21%</w:t>
      </w:r>
      <w:r>
        <w:rPr>
          <w:rFonts w:hint="eastAsia" w:ascii="Times New Roman" w:hAnsi="Times New Roman" w:eastAsia="宋体" w:cs="Times New Roman"/>
          <w:color w:val="000000" w:themeColor="text1"/>
          <w:kern w:val="0"/>
          <w:sz w:val="24"/>
          <w:szCs w:val="24"/>
          <w14:textFill>
            <w14:solidFill>
              <w14:schemeClr w14:val="tx1"/>
            </w14:solidFill>
          </w14:textFill>
        </w:rPr>
        <w:t>，主要原因系报告期公司利润分配及偿付利息增加所致；</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2"/>
        <w:jc w:val="left"/>
        <w:textAlignment w:val="auto"/>
        <w:rPr>
          <w:rFonts w:hint="default" w:ascii="Times New Roman" w:hAnsi="Times New Roman" w:eastAsia="宋体" w:cs="Times New Roman"/>
          <w:color w:val="000000" w:themeColor="text1"/>
          <w:kern w:val="0"/>
          <w:sz w:val="24"/>
          <w:szCs w:val="24"/>
          <w14:textFill>
            <w14:solidFill>
              <w14:schemeClr w14:val="tx1"/>
            </w14:solidFill>
          </w14:textFill>
        </w:rPr>
      </w:pPr>
      <w:r>
        <w:rPr>
          <w:rFonts w:hint="eastAsia" w:ascii="Times New Roman" w:hAnsi="Times New Roman" w:eastAsia="宋体" w:cs="Times New Roman"/>
          <w:color w:val="000000" w:themeColor="text1"/>
          <w:kern w:val="0"/>
          <w:sz w:val="24"/>
          <w:szCs w:val="24"/>
          <w14:textFill>
            <w14:solidFill>
              <w14:schemeClr w14:val="tx1"/>
            </w14:solidFill>
          </w14:textFill>
        </w:rPr>
        <w:t>（</w:t>
      </w:r>
      <w:r>
        <w:rPr>
          <w:rFonts w:hint="default" w:ascii="Times New Roman" w:hAnsi="Times New Roman" w:eastAsia="宋体" w:cs="Times New Roman"/>
          <w:color w:val="000000" w:themeColor="text1"/>
          <w:kern w:val="0"/>
          <w:sz w:val="24"/>
          <w:szCs w:val="24"/>
          <w14:textFill>
            <w14:solidFill>
              <w14:schemeClr w14:val="tx1"/>
            </w14:solidFill>
          </w14:textFill>
        </w:rPr>
        <w:t>6</w:t>
      </w:r>
      <w:r>
        <w:rPr>
          <w:rFonts w:hint="eastAsia" w:ascii="Times New Roman" w:hAnsi="Times New Roman" w:eastAsia="宋体" w:cs="Times New Roman"/>
          <w:color w:val="000000" w:themeColor="text1"/>
          <w:kern w:val="0"/>
          <w:sz w:val="24"/>
          <w:szCs w:val="24"/>
          <w14:textFill>
            <w14:solidFill>
              <w14:schemeClr w14:val="tx1"/>
            </w14:solidFill>
          </w14:textFill>
        </w:rPr>
        <w:t>）支付其他与筹资活动有关的现金</w:t>
      </w:r>
      <w:r>
        <w:rPr>
          <w:rFonts w:hint="default" w:ascii="Times New Roman" w:hAnsi="Times New Roman" w:eastAsia="宋体" w:cs="Times New Roman"/>
          <w:color w:val="000000" w:themeColor="text1"/>
          <w:kern w:val="0"/>
          <w:sz w:val="24"/>
          <w:szCs w:val="24"/>
          <w14:textFill>
            <w14:solidFill>
              <w14:schemeClr w14:val="tx1"/>
            </w14:solidFill>
          </w14:textFill>
        </w:rPr>
        <w:t>2023</w:t>
      </w:r>
      <w:r>
        <w:rPr>
          <w:rFonts w:hint="eastAsia" w:ascii="Times New Roman" w:hAnsi="Times New Roman" w:eastAsia="宋体" w:cs="Times New Roman"/>
          <w:color w:val="000000" w:themeColor="text1"/>
          <w:kern w:val="0"/>
          <w:sz w:val="24"/>
          <w:szCs w:val="24"/>
          <w14:textFill>
            <w14:solidFill>
              <w14:schemeClr w14:val="tx1"/>
            </w14:solidFill>
          </w14:textFill>
        </w:rPr>
        <w:t>年</w:t>
      </w:r>
      <w:r>
        <w:rPr>
          <w:rFonts w:hint="default" w:ascii="Times New Roman" w:hAnsi="Times New Roman" w:eastAsia="宋体" w:cs="Times New Roman"/>
          <w:color w:val="000000" w:themeColor="text1"/>
          <w:kern w:val="0"/>
          <w:sz w:val="24"/>
          <w:szCs w:val="24"/>
          <w14:textFill>
            <w14:solidFill>
              <w14:schemeClr w14:val="tx1"/>
            </w14:solidFill>
          </w14:textFill>
        </w:rPr>
        <w:t>1-9</w:t>
      </w:r>
      <w:r>
        <w:rPr>
          <w:rFonts w:hint="eastAsia" w:ascii="Times New Roman" w:hAnsi="Times New Roman" w:eastAsia="宋体" w:cs="Times New Roman"/>
          <w:color w:val="000000" w:themeColor="text1"/>
          <w:kern w:val="0"/>
          <w:sz w:val="24"/>
          <w:szCs w:val="24"/>
          <w14:textFill>
            <w14:solidFill>
              <w14:schemeClr w14:val="tx1"/>
            </w14:solidFill>
          </w14:textFill>
        </w:rPr>
        <w:t>月发生数为</w:t>
      </w:r>
      <w:r>
        <w:rPr>
          <w:rFonts w:hint="default" w:ascii="Times New Roman" w:hAnsi="Times New Roman" w:eastAsia="宋体" w:cs="Times New Roman"/>
          <w:color w:val="000000" w:themeColor="text1"/>
          <w:kern w:val="0"/>
          <w:sz w:val="24"/>
          <w:szCs w:val="24"/>
          <w14:textFill>
            <w14:solidFill>
              <w14:schemeClr w14:val="tx1"/>
            </w14:solidFill>
          </w14:textFill>
        </w:rPr>
        <w:t>50,305,999.94</w:t>
      </w:r>
      <w:r>
        <w:rPr>
          <w:rFonts w:hint="eastAsia" w:ascii="Times New Roman" w:hAnsi="Times New Roman" w:eastAsia="宋体" w:cs="Times New Roman"/>
          <w:color w:val="000000" w:themeColor="text1"/>
          <w:kern w:val="0"/>
          <w:sz w:val="24"/>
          <w:szCs w:val="24"/>
          <w14:textFill>
            <w14:solidFill>
              <w14:schemeClr w14:val="tx1"/>
            </w14:solidFill>
          </w14:textFill>
        </w:rPr>
        <w:t>元，比上期数增加</w:t>
      </w:r>
      <w:r>
        <w:rPr>
          <w:rFonts w:hint="default" w:ascii="Times New Roman" w:hAnsi="Times New Roman" w:eastAsia="宋体" w:cs="Times New Roman"/>
          <w:color w:val="000000" w:themeColor="text1"/>
          <w:kern w:val="0"/>
          <w:sz w:val="24"/>
          <w:szCs w:val="24"/>
          <w14:textFill>
            <w14:solidFill>
              <w14:schemeClr w14:val="tx1"/>
            </w14:solidFill>
          </w14:textFill>
        </w:rPr>
        <w:t>1627.26%</w:t>
      </w:r>
      <w:r>
        <w:rPr>
          <w:rFonts w:hint="eastAsia" w:ascii="Times New Roman" w:hAnsi="Times New Roman" w:eastAsia="宋体" w:cs="Times New Roman"/>
          <w:color w:val="000000" w:themeColor="text1"/>
          <w:kern w:val="0"/>
          <w:sz w:val="24"/>
          <w:szCs w:val="24"/>
          <w14:textFill>
            <w14:solidFill>
              <w14:schemeClr w14:val="tx1"/>
            </w14:solidFill>
          </w14:textFill>
        </w:rPr>
        <w:t>，主要原因系报告期公司支付的光伏土地租赁款同比增加所致。</w:t>
      </w:r>
    </w:p>
    <w:p>
      <w:pPr>
        <w:keepNext/>
        <w:keepLines/>
        <w:spacing w:before="300" w:after="300" w:line="320" w:lineRule="exact"/>
        <w:jc w:val="left"/>
        <w:outlineLvl w:val="0"/>
        <w:rPr>
          <w:rFonts w:ascii="宋体" w:hAnsi="宋体" w:eastAsia="宋体" w:cs="宋体"/>
          <w:b/>
          <w:bCs/>
          <w:color w:val="000000" w:themeColor="text1"/>
          <w:sz w:val="24"/>
          <w:szCs w:val="24"/>
          <w14:textFill>
            <w14:solidFill>
              <w14:schemeClr w14:val="tx1"/>
            </w14:solidFill>
          </w14:textFill>
        </w:rPr>
      </w:pPr>
      <w:bookmarkStart w:id="4" w:name="_Toc988893"/>
      <w:r>
        <w:rPr>
          <w:rFonts w:ascii="宋体" w:hAnsi="宋体" w:eastAsia="宋体" w:cs="宋体"/>
          <w:b/>
          <w:bCs/>
          <w:color w:val="000000" w:themeColor="text1"/>
          <w:sz w:val="24"/>
          <w:szCs w:val="24"/>
          <w14:textFill>
            <w14:solidFill>
              <w14:schemeClr w14:val="tx1"/>
            </w14:solidFill>
          </w14:textFill>
        </w:rPr>
        <w:t>二、股东信息</w:t>
      </w:r>
      <w:bookmarkEnd w:id="4"/>
    </w:p>
    <w:p>
      <w:pPr>
        <w:keepNext/>
        <w:keepLines/>
        <w:spacing w:before="300" w:after="300" w:line="280" w:lineRule="exact"/>
        <w:jc w:val="left"/>
        <w:outlineLvl w:val="1"/>
        <w:rPr>
          <w:rFonts w:ascii="宋体" w:hAnsi="宋体" w:eastAsia="宋体" w:cs="宋体"/>
          <w:b/>
          <w:bCs/>
          <w:color w:val="000000" w:themeColor="text1"/>
          <w:sz w:val="24"/>
          <w:szCs w:val="24"/>
          <w14:textFill>
            <w14:solidFill>
              <w14:schemeClr w14:val="tx1"/>
            </w14:solidFill>
          </w14:textFill>
        </w:rPr>
      </w:pPr>
      <w:bookmarkStart w:id="5" w:name="_Toc988894"/>
      <w:r>
        <w:rPr>
          <w:rFonts w:ascii="宋体" w:hAnsi="宋体" w:eastAsia="宋体" w:cs="宋体"/>
          <w:b/>
          <w:bCs/>
          <w:color w:val="000000" w:themeColor="text1"/>
          <w:sz w:val="24"/>
          <w:szCs w:val="24"/>
          <w14:textFill>
            <w14:solidFill>
              <w14:schemeClr w14:val="tx1"/>
            </w14:solidFill>
          </w14:textFill>
        </w:rPr>
        <w:t>（一） 普通股股东总数和表决权恢复的优先股股东数量及前十名股东持股情况表</w:t>
      </w:r>
      <w:bookmarkEnd w:id="5"/>
    </w:p>
    <w:p>
      <w:pPr>
        <w:spacing w:before="40" w:after="40" w:line="240" w:lineRule="exact"/>
        <w:jc w:val="right"/>
        <w:rPr>
          <w:rFonts w:ascii="宋体" w:hAnsi="宋体" w:eastAsia="宋体" w:cs="宋体"/>
          <w:color w:val="000000" w:themeColor="text1"/>
          <w:sz w:val="18"/>
          <w:szCs w:val="18"/>
          <w14:textFill>
            <w14:solidFill>
              <w14:schemeClr w14:val="tx1"/>
            </w14:solidFill>
          </w14:textFill>
        </w:rPr>
      </w:pPr>
      <w:r>
        <w:rPr>
          <w:rFonts w:ascii="宋体" w:hAnsi="宋体" w:eastAsia="宋体" w:cs="宋体"/>
          <w:color w:val="000000" w:themeColor="text1"/>
          <w:sz w:val="18"/>
          <w:szCs w:val="18"/>
          <w14:textFill>
            <w14:solidFill>
              <w14:schemeClr w14:val="tx1"/>
            </w14:solidFill>
          </w14:textFill>
        </w:rPr>
        <w:t>单位：股</w:t>
      </w:r>
    </w:p>
    <w:tbl>
      <w:tblPr>
        <w:tblStyle w:val="3"/>
        <w:tblW w:w="9852" w:type="dxa"/>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94"/>
        <w:gridCol w:w="1488"/>
        <w:gridCol w:w="1162"/>
        <w:gridCol w:w="1377"/>
        <w:gridCol w:w="1377"/>
        <w:gridCol w:w="1377"/>
        <w:gridCol w:w="1377"/>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182"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报告期末普通股股东总数</w:t>
            </w:r>
          </w:p>
        </w:tc>
        <w:tc>
          <w:tcPr>
            <w:tcW w:w="1162"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114,301</w:t>
            </w:r>
          </w:p>
        </w:tc>
        <w:tc>
          <w:tcPr>
            <w:tcW w:w="4131"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报告期末表决权恢复的优先股股东总数（如有）</w:t>
            </w:r>
          </w:p>
        </w:tc>
        <w:tc>
          <w:tcPr>
            <w:tcW w:w="137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9852" w:type="dxa"/>
            <w:gridSpan w:val="7"/>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center"/>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前10名股东持股情况</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1694"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center"/>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股东名称</w:t>
            </w:r>
          </w:p>
        </w:tc>
        <w:tc>
          <w:tcPr>
            <w:tcW w:w="148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center"/>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股东性质</w:t>
            </w:r>
          </w:p>
        </w:tc>
        <w:tc>
          <w:tcPr>
            <w:tcW w:w="1162"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center"/>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持股比例</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center"/>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持股数量</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center"/>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持有有限售条件的股份数量</w:t>
            </w:r>
          </w:p>
        </w:tc>
        <w:tc>
          <w:tcPr>
            <w:tcW w:w="2754"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center"/>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质押、标记或冻结情况</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1694"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pPr>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148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pPr>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116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pPr>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pPr>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pPr>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center"/>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股份状态</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center"/>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数量</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1694"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国家能源投资集团有限责任公司</w:t>
            </w:r>
          </w:p>
        </w:tc>
        <w:tc>
          <w:tcPr>
            <w:tcW w:w="148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国有法人</w:t>
            </w:r>
          </w:p>
        </w:tc>
        <w:tc>
          <w:tcPr>
            <w:tcW w:w="1162"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67.50%</w:t>
            </w:r>
          </w:p>
        </w:tc>
        <w:tc>
          <w:tcPr>
            <w:tcW w:w="137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1,855,817,730</w:t>
            </w:r>
          </w:p>
        </w:tc>
        <w:tc>
          <w:tcPr>
            <w:tcW w:w="137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1,441,376,398</w:t>
            </w:r>
          </w:p>
        </w:tc>
        <w:tc>
          <w:tcPr>
            <w:tcW w:w="137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137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1694"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湖北能源集团股份有限公司</w:t>
            </w:r>
          </w:p>
        </w:tc>
        <w:tc>
          <w:tcPr>
            <w:tcW w:w="148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国有法人</w:t>
            </w:r>
          </w:p>
        </w:tc>
        <w:tc>
          <w:tcPr>
            <w:tcW w:w="1162"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1.50%</w:t>
            </w:r>
          </w:p>
        </w:tc>
        <w:tc>
          <w:tcPr>
            <w:tcW w:w="137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41,158,725</w:t>
            </w:r>
          </w:p>
        </w:tc>
        <w:tc>
          <w:tcPr>
            <w:tcW w:w="137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0</w:t>
            </w:r>
          </w:p>
        </w:tc>
        <w:tc>
          <w:tcPr>
            <w:tcW w:w="137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137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1694"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王梓煜</w:t>
            </w:r>
          </w:p>
        </w:tc>
        <w:tc>
          <w:tcPr>
            <w:tcW w:w="148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境内自然人</w:t>
            </w:r>
          </w:p>
        </w:tc>
        <w:tc>
          <w:tcPr>
            <w:tcW w:w="1162"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0.46%</w:t>
            </w:r>
          </w:p>
        </w:tc>
        <w:tc>
          <w:tcPr>
            <w:tcW w:w="137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12,760,800</w:t>
            </w:r>
          </w:p>
        </w:tc>
        <w:tc>
          <w:tcPr>
            <w:tcW w:w="137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0</w:t>
            </w:r>
          </w:p>
        </w:tc>
        <w:tc>
          <w:tcPr>
            <w:tcW w:w="137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137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1694"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湖北正源电力集团有限公司</w:t>
            </w:r>
          </w:p>
        </w:tc>
        <w:tc>
          <w:tcPr>
            <w:tcW w:w="148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境内非国有法人</w:t>
            </w:r>
          </w:p>
        </w:tc>
        <w:tc>
          <w:tcPr>
            <w:tcW w:w="1162"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0.36%</w:t>
            </w:r>
          </w:p>
        </w:tc>
        <w:tc>
          <w:tcPr>
            <w:tcW w:w="137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10,006,242</w:t>
            </w:r>
          </w:p>
        </w:tc>
        <w:tc>
          <w:tcPr>
            <w:tcW w:w="137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0</w:t>
            </w:r>
          </w:p>
        </w:tc>
        <w:tc>
          <w:tcPr>
            <w:tcW w:w="137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137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1694"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香港中央结算有限公司</w:t>
            </w:r>
          </w:p>
        </w:tc>
        <w:tc>
          <w:tcPr>
            <w:tcW w:w="148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境外法人</w:t>
            </w:r>
          </w:p>
        </w:tc>
        <w:tc>
          <w:tcPr>
            <w:tcW w:w="1162"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0.33%</w:t>
            </w:r>
          </w:p>
        </w:tc>
        <w:tc>
          <w:tcPr>
            <w:tcW w:w="137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9,081,361</w:t>
            </w:r>
          </w:p>
        </w:tc>
        <w:tc>
          <w:tcPr>
            <w:tcW w:w="137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0</w:t>
            </w:r>
          </w:p>
        </w:tc>
        <w:tc>
          <w:tcPr>
            <w:tcW w:w="137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137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1694"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广发证券股份有限公司</w:t>
            </w:r>
          </w:p>
        </w:tc>
        <w:tc>
          <w:tcPr>
            <w:tcW w:w="148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境内非国有法人</w:t>
            </w:r>
          </w:p>
        </w:tc>
        <w:tc>
          <w:tcPr>
            <w:tcW w:w="1162"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0.17%</w:t>
            </w:r>
          </w:p>
        </w:tc>
        <w:tc>
          <w:tcPr>
            <w:tcW w:w="137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4,722,743</w:t>
            </w:r>
          </w:p>
        </w:tc>
        <w:tc>
          <w:tcPr>
            <w:tcW w:w="137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0</w:t>
            </w:r>
          </w:p>
        </w:tc>
        <w:tc>
          <w:tcPr>
            <w:tcW w:w="137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137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1694"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万玉梅</w:t>
            </w:r>
          </w:p>
        </w:tc>
        <w:tc>
          <w:tcPr>
            <w:tcW w:w="148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境内自然人</w:t>
            </w:r>
          </w:p>
        </w:tc>
        <w:tc>
          <w:tcPr>
            <w:tcW w:w="1162"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0.15%</w:t>
            </w:r>
          </w:p>
        </w:tc>
        <w:tc>
          <w:tcPr>
            <w:tcW w:w="137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4,100,000</w:t>
            </w:r>
          </w:p>
        </w:tc>
        <w:tc>
          <w:tcPr>
            <w:tcW w:w="137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0</w:t>
            </w:r>
          </w:p>
        </w:tc>
        <w:tc>
          <w:tcPr>
            <w:tcW w:w="137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137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1694"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财通基金－协众创新私募证券投资基金－财通基金玉泉协众创新单一资产管理计划</w:t>
            </w:r>
          </w:p>
        </w:tc>
        <w:tc>
          <w:tcPr>
            <w:tcW w:w="148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其他</w:t>
            </w:r>
          </w:p>
        </w:tc>
        <w:tc>
          <w:tcPr>
            <w:tcW w:w="1162"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0.14%</w:t>
            </w:r>
          </w:p>
        </w:tc>
        <w:tc>
          <w:tcPr>
            <w:tcW w:w="137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3,826,955</w:t>
            </w:r>
          </w:p>
        </w:tc>
        <w:tc>
          <w:tcPr>
            <w:tcW w:w="137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0</w:t>
            </w:r>
          </w:p>
        </w:tc>
        <w:tc>
          <w:tcPr>
            <w:tcW w:w="137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137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1694"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欧阳克氙</w:t>
            </w:r>
          </w:p>
        </w:tc>
        <w:tc>
          <w:tcPr>
            <w:tcW w:w="148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境内自然人</w:t>
            </w:r>
          </w:p>
        </w:tc>
        <w:tc>
          <w:tcPr>
            <w:tcW w:w="1162"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0.13%</w:t>
            </w:r>
          </w:p>
        </w:tc>
        <w:tc>
          <w:tcPr>
            <w:tcW w:w="137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3,526,600</w:t>
            </w:r>
          </w:p>
        </w:tc>
        <w:tc>
          <w:tcPr>
            <w:tcW w:w="137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0</w:t>
            </w:r>
          </w:p>
        </w:tc>
        <w:tc>
          <w:tcPr>
            <w:tcW w:w="137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137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1694"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中国建设银行股份有限公司－广发中证全指电力公用事业交易型开放式指数证券投资基金</w:t>
            </w:r>
          </w:p>
        </w:tc>
        <w:tc>
          <w:tcPr>
            <w:tcW w:w="148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其他</w:t>
            </w:r>
          </w:p>
        </w:tc>
        <w:tc>
          <w:tcPr>
            <w:tcW w:w="1162"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0.12%</w:t>
            </w:r>
          </w:p>
        </w:tc>
        <w:tc>
          <w:tcPr>
            <w:tcW w:w="137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3,307,024</w:t>
            </w:r>
          </w:p>
        </w:tc>
        <w:tc>
          <w:tcPr>
            <w:tcW w:w="137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0</w:t>
            </w:r>
          </w:p>
        </w:tc>
        <w:tc>
          <w:tcPr>
            <w:tcW w:w="137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137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9852" w:type="dxa"/>
            <w:gridSpan w:val="7"/>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center"/>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前10名无限售条件股东持股情况</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182" w:type="dxa"/>
            <w:gridSpan w:val="2"/>
            <w:vMerge w:val="restart"/>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center"/>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股东名称</w:t>
            </w:r>
          </w:p>
        </w:tc>
        <w:tc>
          <w:tcPr>
            <w:tcW w:w="3916" w:type="dxa"/>
            <w:gridSpan w:val="3"/>
            <w:vMerge w:val="restart"/>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center"/>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持有无限售条件股份数量</w:t>
            </w:r>
          </w:p>
        </w:tc>
        <w:tc>
          <w:tcPr>
            <w:tcW w:w="2754"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center"/>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股份种类及数量</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182" w:type="dxa"/>
            <w:gridSpan w:val="2"/>
            <w:vMerge w:val="continue"/>
            <w:tcBorders>
              <w:top w:val="single" w:color="auto" w:sz="2" w:space="0"/>
              <w:left w:val="single" w:color="auto" w:sz="2" w:space="0"/>
              <w:bottom w:val="single" w:color="auto" w:sz="2" w:space="0"/>
              <w:right w:val="single" w:color="auto" w:sz="2" w:space="0"/>
            </w:tcBorders>
            <w:shd w:val="clear" w:color="auto" w:fill="D3D3D3"/>
            <w:vAlign w:val="center"/>
          </w:tcPr>
          <w:p>
            <w:pPr>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916" w:type="dxa"/>
            <w:gridSpan w:val="3"/>
            <w:vMerge w:val="continue"/>
            <w:tcBorders>
              <w:top w:val="single" w:color="auto" w:sz="2" w:space="0"/>
              <w:left w:val="single" w:color="auto" w:sz="2" w:space="0"/>
              <w:bottom w:val="single" w:color="auto" w:sz="2" w:space="0"/>
              <w:right w:val="single" w:color="auto" w:sz="2" w:space="0"/>
            </w:tcBorders>
            <w:shd w:val="clear" w:color="auto" w:fill="D3D3D3"/>
            <w:vAlign w:val="center"/>
          </w:tcPr>
          <w:p>
            <w:pPr>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center"/>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股份种类</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center"/>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数量</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182"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国家能源投资集团有限责任公司</w:t>
            </w:r>
          </w:p>
        </w:tc>
        <w:tc>
          <w:tcPr>
            <w:tcW w:w="3916" w:type="dxa"/>
            <w:gridSpan w:val="3"/>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414,441,332</w:t>
            </w:r>
          </w:p>
        </w:tc>
        <w:tc>
          <w:tcPr>
            <w:tcW w:w="137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人民币普通股</w:t>
            </w:r>
          </w:p>
        </w:tc>
        <w:tc>
          <w:tcPr>
            <w:tcW w:w="137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414,441,332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182"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湖北能源集团股份有限公司</w:t>
            </w:r>
          </w:p>
        </w:tc>
        <w:tc>
          <w:tcPr>
            <w:tcW w:w="3916" w:type="dxa"/>
            <w:gridSpan w:val="3"/>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41,158,725</w:t>
            </w:r>
          </w:p>
        </w:tc>
        <w:tc>
          <w:tcPr>
            <w:tcW w:w="137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人民币普通股</w:t>
            </w:r>
          </w:p>
        </w:tc>
        <w:tc>
          <w:tcPr>
            <w:tcW w:w="137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41,158,725</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182"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王梓煜</w:t>
            </w:r>
          </w:p>
        </w:tc>
        <w:tc>
          <w:tcPr>
            <w:tcW w:w="3916" w:type="dxa"/>
            <w:gridSpan w:val="3"/>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12,760,800</w:t>
            </w:r>
          </w:p>
        </w:tc>
        <w:tc>
          <w:tcPr>
            <w:tcW w:w="137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人民币普通股</w:t>
            </w:r>
          </w:p>
        </w:tc>
        <w:tc>
          <w:tcPr>
            <w:tcW w:w="137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12,760,800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182"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湖北正源电力集团有限公司</w:t>
            </w:r>
          </w:p>
        </w:tc>
        <w:tc>
          <w:tcPr>
            <w:tcW w:w="3916" w:type="dxa"/>
            <w:gridSpan w:val="3"/>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10,006,242</w:t>
            </w:r>
          </w:p>
        </w:tc>
        <w:tc>
          <w:tcPr>
            <w:tcW w:w="137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人民币普通股</w:t>
            </w:r>
          </w:p>
        </w:tc>
        <w:tc>
          <w:tcPr>
            <w:tcW w:w="137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10,006,242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182"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香港中央结算有限公司</w:t>
            </w:r>
          </w:p>
        </w:tc>
        <w:tc>
          <w:tcPr>
            <w:tcW w:w="3916" w:type="dxa"/>
            <w:gridSpan w:val="3"/>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9,081,361</w:t>
            </w:r>
          </w:p>
        </w:tc>
        <w:tc>
          <w:tcPr>
            <w:tcW w:w="137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人民币普通股</w:t>
            </w:r>
          </w:p>
        </w:tc>
        <w:tc>
          <w:tcPr>
            <w:tcW w:w="137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9,081,361</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182"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广发证券股份有限公司</w:t>
            </w:r>
          </w:p>
        </w:tc>
        <w:tc>
          <w:tcPr>
            <w:tcW w:w="3916" w:type="dxa"/>
            <w:gridSpan w:val="3"/>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4,722,743</w:t>
            </w:r>
          </w:p>
        </w:tc>
        <w:tc>
          <w:tcPr>
            <w:tcW w:w="137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人民币普通股</w:t>
            </w:r>
          </w:p>
        </w:tc>
        <w:tc>
          <w:tcPr>
            <w:tcW w:w="137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4,722,743</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182"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万玉梅</w:t>
            </w:r>
          </w:p>
        </w:tc>
        <w:tc>
          <w:tcPr>
            <w:tcW w:w="3916" w:type="dxa"/>
            <w:gridSpan w:val="3"/>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4,100,000</w:t>
            </w:r>
          </w:p>
        </w:tc>
        <w:tc>
          <w:tcPr>
            <w:tcW w:w="137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人民币普通股</w:t>
            </w:r>
          </w:p>
        </w:tc>
        <w:tc>
          <w:tcPr>
            <w:tcW w:w="137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4,100,000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182"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财通基金－协众创新私募证券投资基金－财通基金玉泉协众创新单一资产管理计划</w:t>
            </w:r>
          </w:p>
        </w:tc>
        <w:tc>
          <w:tcPr>
            <w:tcW w:w="3916" w:type="dxa"/>
            <w:gridSpan w:val="3"/>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3,826,955</w:t>
            </w:r>
          </w:p>
        </w:tc>
        <w:tc>
          <w:tcPr>
            <w:tcW w:w="137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人民币普通股</w:t>
            </w:r>
          </w:p>
        </w:tc>
        <w:tc>
          <w:tcPr>
            <w:tcW w:w="137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3,826,955</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182"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欧阳克氙</w:t>
            </w:r>
          </w:p>
        </w:tc>
        <w:tc>
          <w:tcPr>
            <w:tcW w:w="3916" w:type="dxa"/>
            <w:gridSpan w:val="3"/>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3,526,600</w:t>
            </w:r>
          </w:p>
        </w:tc>
        <w:tc>
          <w:tcPr>
            <w:tcW w:w="137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人民币普通股</w:t>
            </w:r>
          </w:p>
        </w:tc>
        <w:tc>
          <w:tcPr>
            <w:tcW w:w="137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3,526,600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182"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中国建设银行股份有限公司－广发中证全指电力公用事业交易型开放式指数证券投资基金</w:t>
            </w:r>
          </w:p>
        </w:tc>
        <w:tc>
          <w:tcPr>
            <w:tcW w:w="3916" w:type="dxa"/>
            <w:gridSpan w:val="3"/>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3,307,024</w:t>
            </w:r>
          </w:p>
        </w:tc>
        <w:tc>
          <w:tcPr>
            <w:tcW w:w="137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人民币普通股</w:t>
            </w:r>
          </w:p>
        </w:tc>
        <w:tc>
          <w:tcPr>
            <w:tcW w:w="137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3,307,024</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4344"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上述股东关联关系或一致行动的说明</w:t>
            </w:r>
          </w:p>
        </w:tc>
        <w:tc>
          <w:tcPr>
            <w:tcW w:w="5508" w:type="dxa"/>
            <w:gridSpan w:val="4"/>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国家能源投资集团有限责任公司是湖北能源集团股份有限公司的股东，持股比例为3.2</w:t>
            </w:r>
            <w:r>
              <w:rPr>
                <w:rFonts w:hint="eastAsia" w:cs="Times New Roman" w:eastAsiaTheme="minorEastAsia"/>
                <w:color w:val="000000" w:themeColor="text1"/>
                <w:sz w:val="18"/>
                <w:szCs w:val="18"/>
                <w:lang w:val="en-US" w:eastAsia="zh-CN"/>
                <w14:textFill>
                  <w14:solidFill>
                    <w14:schemeClr w14:val="tx1"/>
                  </w14:solidFill>
                </w14:textFill>
              </w:rPr>
              <w:t>5</w:t>
            </w:r>
            <w:r>
              <w:rPr>
                <w:rFonts w:hint="default" w:ascii="Times New Roman" w:hAnsi="Times New Roman" w:cs="Times New Roman" w:eastAsiaTheme="minorEastAsia"/>
                <w:color w:val="000000" w:themeColor="text1"/>
                <w:sz w:val="18"/>
                <w:szCs w:val="18"/>
                <w14:textFill>
                  <w14:solidFill>
                    <w14:schemeClr w14:val="tx1"/>
                  </w14:solidFill>
                </w14:textFill>
              </w:rPr>
              <w:t>%。除此之外，上述股东之间未知是否存在其它关联关系或属于《上市公司收购管理办法》规定的一致行动人。</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4344"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前10名股东参与融资融券业务情况说明（如有）</w:t>
            </w:r>
          </w:p>
        </w:tc>
        <w:tc>
          <w:tcPr>
            <w:tcW w:w="5508" w:type="dxa"/>
            <w:gridSpan w:val="4"/>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股东王梓煜，通过中信证券股份有限公司客户信用交易担保证券账户持有公司股票12,760,800股；股东欧阳克氙，通过中信建投证券股份有限公司客户信用交易担保证券账户持有公司股票3,526,</w:t>
            </w:r>
            <w:r>
              <w:rPr>
                <w:rFonts w:hint="eastAsia" w:ascii="Times New Roman" w:hAnsi="Times New Roman" w:cs="Times New Roman" w:eastAsiaTheme="minorEastAsia"/>
                <w:color w:val="000000" w:themeColor="text1"/>
                <w:sz w:val="18"/>
                <w:szCs w:val="18"/>
                <w:lang w:val="en-US" w:eastAsia="zh-CN"/>
                <w14:textFill>
                  <w14:solidFill>
                    <w14:schemeClr w14:val="tx1"/>
                  </w14:solidFill>
                </w14:textFill>
              </w:rPr>
              <w:t>6</w:t>
            </w:r>
            <w:r>
              <w:rPr>
                <w:rFonts w:hint="default" w:ascii="Times New Roman" w:hAnsi="Times New Roman" w:cs="Times New Roman" w:eastAsiaTheme="minorEastAsia"/>
                <w:color w:val="000000" w:themeColor="text1"/>
                <w:sz w:val="18"/>
                <w:szCs w:val="18"/>
                <w14:textFill>
                  <w14:solidFill>
                    <w14:schemeClr w14:val="tx1"/>
                  </w14:solidFill>
                </w14:textFill>
              </w:rPr>
              <w:t>00股。</w:t>
            </w:r>
          </w:p>
        </w:tc>
      </w:tr>
    </w:tbl>
    <w:p>
      <w:pPr>
        <w:keepNext/>
        <w:keepLines/>
        <w:spacing w:before="300" w:after="300" w:line="280" w:lineRule="exact"/>
        <w:jc w:val="left"/>
        <w:outlineLvl w:val="1"/>
        <w:rPr>
          <w:rFonts w:ascii="宋体" w:hAnsi="宋体" w:eastAsia="宋体" w:cs="宋体"/>
          <w:b/>
          <w:bCs/>
          <w:color w:val="000000" w:themeColor="text1"/>
          <w:sz w:val="24"/>
          <w:szCs w:val="24"/>
          <w14:textFill>
            <w14:solidFill>
              <w14:schemeClr w14:val="tx1"/>
            </w14:solidFill>
          </w14:textFill>
        </w:rPr>
      </w:pPr>
      <w:bookmarkStart w:id="6" w:name="_Toc988895"/>
      <w:r>
        <w:rPr>
          <w:rFonts w:ascii="宋体" w:hAnsi="宋体" w:eastAsia="宋体" w:cs="宋体"/>
          <w:b/>
          <w:bCs/>
          <w:color w:val="000000" w:themeColor="text1"/>
          <w:sz w:val="24"/>
          <w:szCs w:val="24"/>
          <w14:textFill>
            <w14:solidFill>
              <w14:schemeClr w14:val="tx1"/>
            </w14:solidFill>
          </w14:textFill>
        </w:rPr>
        <w:t>（二） 公司优先股股东总数及前10名优先股股东持股情况表</w:t>
      </w:r>
      <w:bookmarkEnd w:id="6"/>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sym w:font="Wingdings 2" w:char="00A3"/>
      </w:r>
      <w:r>
        <w:rPr>
          <w:rFonts w:hint="eastAsia" w:ascii="宋体" w:hAnsi="宋体" w:eastAsia="宋体" w:cs="宋体"/>
          <w:color w:val="000000" w:themeColor="text1"/>
          <w:sz w:val="24"/>
          <w:szCs w:val="24"/>
          <w14:textFill>
            <w14:solidFill>
              <w14:schemeClr w14:val="tx1"/>
            </w14:solidFill>
          </w14:textFill>
        </w:rPr>
        <w:t xml:space="preserve">适用 </w:t>
      </w:r>
      <w:r>
        <w:rPr>
          <w:rFonts w:hint="eastAsia" w:ascii="宋体" w:hAnsi="宋体" w:eastAsia="宋体" w:cs="宋体"/>
          <w:color w:val="000000" w:themeColor="text1"/>
          <w:sz w:val="24"/>
          <w:szCs w:val="24"/>
          <w14:textFill>
            <w14:solidFill>
              <w14:schemeClr w14:val="tx1"/>
            </w14:solidFill>
          </w14:textFill>
        </w:rPr>
        <w:sym w:font="Wingdings 2" w:char="F052"/>
      </w:r>
      <w:r>
        <w:rPr>
          <w:rFonts w:hint="eastAsia" w:ascii="宋体" w:hAnsi="宋体" w:eastAsia="宋体" w:cs="宋体"/>
          <w:color w:val="000000" w:themeColor="text1"/>
          <w:sz w:val="24"/>
          <w:szCs w:val="24"/>
          <w14:textFill>
            <w14:solidFill>
              <w14:schemeClr w14:val="tx1"/>
            </w14:solidFill>
          </w14:textFill>
        </w:rPr>
        <w:t>不适用</w:t>
      </w:r>
    </w:p>
    <w:p>
      <w:pPr>
        <w:keepNext/>
        <w:keepLines/>
        <w:spacing w:before="300" w:after="300" w:line="320" w:lineRule="exact"/>
        <w:jc w:val="left"/>
        <w:outlineLvl w:val="0"/>
        <w:rPr>
          <w:rFonts w:ascii="宋体" w:hAnsi="宋体" w:eastAsia="宋体" w:cs="宋体"/>
          <w:b/>
          <w:bCs/>
          <w:color w:val="000000" w:themeColor="text1"/>
          <w:sz w:val="24"/>
          <w:szCs w:val="24"/>
          <w14:textFill>
            <w14:solidFill>
              <w14:schemeClr w14:val="tx1"/>
            </w14:solidFill>
          </w14:textFill>
        </w:rPr>
      </w:pPr>
      <w:bookmarkStart w:id="7" w:name="_Toc988896"/>
      <w:r>
        <w:rPr>
          <w:rFonts w:ascii="宋体" w:hAnsi="宋体" w:eastAsia="宋体" w:cs="宋体"/>
          <w:b/>
          <w:bCs/>
          <w:color w:val="000000" w:themeColor="text1"/>
          <w:sz w:val="24"/>
          <w:szCs w:val="24"/>
          <w14:textFill>
            <w14:solidFill>
              <w14:schemeClr w14:val="tx1"/>
            </w14:solidFill>
          </w14:textFill>
        </w:rPr>
        <w:t>三、其他重要事项</w:t>
      </w:r>
      <w:bookmarkEnd w:id="7"/>
    </w:p>
    <w:p>
      <w:pPr>
        <w:keepNext w:val="0"/>
        <w:keepLines w:val="0"/>
        <w:pageBreakBefore w:val="0"/>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sym w:font="Wingdings 2" w:char="F052"/>
      </w:r>
      <w:r>
        <w:rPr>
          <w:rFonts w:hint="eastAsia" w:ascii="宋体" w:hAnsi="宋体" w:eastAsia="宋体" w:cs="宋体"/>
          <w:color w:val="000000" w:themeColor="text1"/>
          <w:sz w:val="24"/>
          <w:szCs w:val="24"/>
          <w14:textFill>
            <w14:solidFill>
              <w14:schemeClr w14:val="tx1"/>
            </w14:solidFill>
          </w14:textFill>
        </w:rPr>
        <w:t>适用 □不适用</w:t>
      </w:r>
    </w:p>
    <w:p>
      <w:pPr>
        <w:pStyle w:val="2"/>
        <w:keepNext w:val="0"/>
        <w:keepLines w:val="0"/>
        <w:pageBreakBefore w:val="0"/>
        <w:widowControl/>
        <w:numPr>
          <w:ilvl w:val="0"/>
          <w:numId w:val="3"/>
        </w:numPr>
        <w:suppressLineNumbers w:val="0"/>
        <w:kinsoku/>
        <w:wordWrap/>
        <w:overflowPunct/>
        <w:topLinePunct w:val="0"/>
        <w:autoSpaceDE/>
        <w:autoSpaceDN/>
        <w:bidi w:val="0"/>
        <w:adjustRightInd/>
        <w:snapToGrid/>
        <w:spacing w:before="0" w:beforeAutospacing="0" w:after="0" w:afterAutospacing="0" w:line="400" w:lineRule="exact"/>
        <w:ind w:right="0" w:rightChars="0" w:firstLine="480" w:firstLineChars="200"/>
        <w:jc w:val="both"/>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eastAsia="宋体" w:cs="Times New Roman"/>
          <w:caps w:val="0"/>
          <w:color w:val="000000" w:themeColor="text1"/>
          <w:spacing w:val="0"/>
          <w:sz w:val="24"/>
          <w:szCs w:val="24"/>
          <w14:textFill>
            <w14:solidFill>
              <w14:schemeClr w14:val="tx1"/>
            </w14:solidFill>
          </w14:textFill>
        </w:rPr>
        <w:t>报告期内，公司系统安全生产局面稳定，前三季度累计完成发电量243.99亿千瓦时，上网电量231.82亿千瓦时，较去年同期分别下降2.18%、1.59%，下降的主要原因为：全省用电增速下滑，水电及新能源增发，火电发电空间压减，公司火电装机占比较大，发电同比下降。第四季度公司发电量存在一定不确定性，主要系冬季气温及社会用电需求尚不明确。</w:t>
      </w:r>
    </w:p>
    <w:p>
      <w:pPr>
        <w:pStyle w:val="2"/>
        <w:keepNext w:val="0"/>
        <w:keepLines w:val="0"/>
        <w:pageBreakBefore w:val="0"/>
        <w:widowControl/>
        <w:numPr>
          <w:ilvl w:val="0"/>
          <w:numId w:val="3"/>
        </w:numPr>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480" w:firstLineChars="200"/>
        <w:jc w:val="both"/>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eastAsia="宋体" w:cs="Times New Roman"/>
          <w:caps w:val="0"/>
          <w:color w:val="000000" w:themeColor="text1"/>
          <w:spacing w:val="0"/>
          <w:sz w:val="24"/>
          <w:szCs w:val="24"/>
          <w14:textFill>
            <w14:solidFill>
              <w14:schemeClr w14:val="tx1"/>
            </w14:solidFill>
          </w14:textFill>
        </w:rPr>
        <w:t>报告期内，公司未发生对外担保事项。截至本报告期末，公司对外担保余额为10,570万元，系公司全资子公司国电湖北电力有限公司对其全资子公司国能长源十堰水电开发有限公司在农行十堰车城支行7,570万元长期借款和工行竹溪支行3,000万元长期借款提供连带责任的保证担保。</w:t>
      </w:r>
    </w:p>
    <w:p>
      <w:pPr>
        <w:pStyle w:val="2"/>
        <w:keepNext w:val="0"/>
        <w:keepLines w:val="0"/>
        <w:pageBreakBefore w:val="0"/>
        <w:widowControl/>
        <w:numPr>
          <w:ilvl w:val="0"/>
          <w:numId w:val="3"/>
        </w:numPr>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480" w:firstLineChars="200"/>
        <w:jc w:val="both"/>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eastAsia="宋体" w:cs="Times New Roman"/>
          <w:caps w:val="0"/>
          <w:color w:val="000000" w:themeColor="text1"/>
          <w:spacing w:val="0"/>
          <w:sz w:val="24"/>
          <w:szCs w:val="24"/>
          <w14:textFill>
            <w14:solidFill>
              <w14:schemeClr w14:val="tx1"/>
            </w14:solidFill>
          </w14:textFill>
        </w:rPr>
        <w:t>报告期</w:t>
      </w:r>
      <w:r>
        <w:rPr>
          <w:rFonts w:hint="eastAsia" w:ascii="宋体" w:hAnsi="宋体" w:eastAsia="宋体" w:cs="宋体"/>
          <w:caps w:val="0"/>
          <w:color w:val="000000" w:themeColor="text1"/>
          <w:spacing w:val="0"/>
          <w:sz w:val="24"/>
          <w:szCs w:val="24"/>
          <w14:textFill>
            <w14:solidFill>
              <w14:schemeClr w14:val="tx1"/>
            </w14:solidFill>
          </w14:textFill>
        </w:rPr>
        <w:t>内，经公开招投标，公司全资子公司国能长源荆州热电有限公司（以下简称荆州公司）将其长源电力荆州公司脱硫（除灰、除尘）总包运维项目交由公司关联方国能龙源环保有限公司（以下简称龙源环保）实施，项目中标金额为</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18,422.99541</w:t>
      </w:r>
      <w:r>
        <w:rPr>
          <w:rFonts w:hint="eastAsia" w:ascii="宋体" w:hAnsi="宋体" w:eastAsia="宋体" w:cs="宋体"/>
          <w:caps w:val="0"/>
          <w:color w:val="000000" w:themeColor="text1"/>
          <w:spacing w:val="0"/>
          <w:sz w:val="24"/>
          <w:szCs w:val="24"/>
          <w14:textFill>
            <w14:solidFill>
              <w14:schemeClr w14:val="tx1"/>
            </w14:solidFill>
          </w14:textFill>
        </w:rPr>
        <w:t>万元。报告期内，荆州公司与龙源环保签署了《国能长源荆州热电有限公司脱硫（除灰、除尘）总包运维合同》（具体内容详见公司于</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2023</w:t>
      </w:r>
      <w:r>
        <w:rPr>
          <w:rFonts w:hint="eastAsia" w:ascii="宋体" w:hAnsi="宋体" w:eastAsia="宋体" w:cs="宋体"/>
          <w:caps w:val="0"/>
          <w:color w:val="000000" w:themeColor="text1"/>
          <w:spacing w:val="0"/>
          <w:sz w:val="24"/>
          <w:szCs w:val="24"/>
          <w14:textFill>
            <w14:solidFill>
              <w14:schemeClr w14:val="tx1"/>
            </w14:solidFill>
          </w14:textFill>
        </w:rPr>
        <w:t>年</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8</w:t>
      </w:r>
      <w:r>
        <w:rPr>
          <w:rFonts w:hint="eastAsia" w:ascii="宋体" w:hAnsi="宋体" w:eastAsia="宋体" w:cs="宋体"/>
          <w:caps w:val="0"/>
          <w:color w:val="000000" w:themeColor="text1"/>
          <w:spacing w:val="0"/>
          <w:sz w:val="24"/>
          <w:szCs w:val="24"/>
          <w14:textFill>
            <w14:solidFill>
              <w14:schemeClr w14:val="tx1"/>
            </w14:solidFill>
          </w14:textFill>
        </w:rPr>
        <w:t>月</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5</w:t>
      </w:r>
      <w:r>
        <w:rPr>
          <w:rFonts w:hint="eastAsia" w:ascii="宋体" w:hAnsi="宋体" w:eastAsia="宋体" w:cs="宋体"/>
          <w:caps w:val="0"/>
          <w:color w:val="000000" w:themeColor="text1"/>
          <w:spacing w:val="0"/>
          <w:sz w:val="24"/>
          <w:szCs w:val="24"/>
          <w14:textFill>
            <w14:solidFill>
              <w14:schemeClr w14:val="tx1"/>
            </w14:solidFill>
          </w14:textFill>
        </w:rPr>
        <w:t>日、</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8</w:t>
      </w:r>
      <w:r>
        <w:rPr>
          <w:rFonts w:hint="eastAsia" w:ascii="宋体" w:hAnsi="宋体" w:eastAsia="宋体" w:cs="宋体"/>
          <w:caps w:val="0"/>
          <w:color w:val="000000" w:themeColor="text1"/>
          <w:spacing w:val="0"/>
          <w:sz w:val="24"/>
          <w:szCs w:val="24"/>
          <w14:textFill>
            <w14:solidFill>
              <w14:schemeClr w14:val="tx1"/>
            </w14:solidFill>
          </w14:textFill>
        </w:rPr>
        <w:t>月</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15</w:t>
      </w:r>
      <w:r>
        <w:rPr>
          <w:rFonts w:hint="eastAsia" w:ascii="宋体" w:hAnsi="宋体" w:eastAsia="宋体" w:cs="宋体"/>
          <w:caps w:val="0"/>
          <w:color w:val="000000" w:themeColor="text1"/>
          <w:spacing w:val="0"/>
          <w:sz w:val="24"/>
          <w:szCs w:val="24"/>
          <w14:textFill>
            <w14:solidFill>
              <w14:schemeClr w14:val="tx1"/>
            </w14:solidFill>
          </w14:textFill>
        </w:rPr>
        <w:t>日在《中国证券报》《证券时报》和巨潮资讯网上披露的有关公告，公告编号：</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2023-073</w:t>
      </w:r>
      <w:r>
        <w:rPr>
          <w:rFonts w:hint="eastAsia" w:ascii="宋体" w:hAnsi="宋体" w:eastAsia="宋体" w:cs="宋体"/>
          <w:caps w:val="0"/>
          <w:color w:val="000000" w:themeColor="text1"/>
          <w:spacing w:val="0"/>
          <w:sz w:val="24"/>
          <w:szCs w:val="24"/>
          <w14:textFill>
            <w14:solidFill>
              <w14:schemeClr w14:val="tx1"/>
            </w14:solidFill>
          </w14:textFill>
        </w:rPr>
        <w:t>、</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077</w:t>
      </w:r>
      <w:r>
        <w:rPr>
          <w:rFonts w:hint="eastAsia" w:ascii="宋体" w:hAnsi="宋体" w:eastAsia="宋体" w:cs="宋体"/>
          <w:caps w:val="0"/>
          <w:color w:val="000000" w:themeColor="text1"/>
          <w:spacing w:val="0"/>
          <w:sz w:val="24"/>
          <w:szCs w:val="24"/>
          <w14:textFill>
            <w14:solidFill>
              <w14:schemeClr w14:val="tx1"/>
            </w14:solidFill>
          </w14:textFill>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jc w:val="both"/>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eastAsia="宋体" w:cs="Times New Roman"/>
          <w:caps w:val="0"/>
          <w:color w:val="000000" w:themeColor="text1"/>
          <w:spacing w:val="0"/>
          <w:sz w:val="24"/>
          <w:szCs w:val="24"/>
          <w14:textFill>
            <w14:solidFill>
              <w14:schemeClr w14:val="tx1"/>
            </w14:solidFill>
          </w14:textFill>
        </w:rPr>
        <w:t>4. </w:t>
      </w:r>
      <w:r>
        <w:rPr>
          <w:rFonts w:hint="eastAsia" w:ascii="宋体" w:hAnsi="宋体" w:eastAsia="宋体" w:cs="宋体"/>
          <w:caps w:val="0"/>
          <w:color w:val="000000" w:themeColor="text1"/>
          <w:spacing w:val="0"/>
          <w:sz w:val="24"/>
          <w:szCs w:val="24"/>
          <w14:textFill>
            <w14:solidFill>
              <w14:schemeClr w14:val="tx1"/>
            </w14:solidFill>
          </w14:textFill>
        </w:rPr>
        <w:t>报告期内，公司收到深圳证券交易所（以下简称深交所）出具的《关于国家能源集团长源电力股份有限公司申请向特定对象发行股票的审核问询函》（审核函〔</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2023</w:t>
      </w:r>
      <w:r>
        <w:rPr>
          <w:rFonts w:hint="eastAsia" w:ascii="宋体" w:hAnsi="宋体" w:eastAsia="宋体" w:cs="宋体"/>
          <w:caps w:val="0"/>
          <w:color w:val="000000" w:themeColor="text1"/>
          <w:spacing w:val="0"/>
          <w:sz w:val="24"/>
          <w:szCs w:val="24"/>
          <w14:textFill>
            <w14:solidFill>
              <w14:schemeClr w14:val="tx1"/>
            </w14:solidFill>
          </w14:textFill>
        </w:rPr>
        <w:t>〕</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120138</w:t>
      </w:r>
      <w:r>
        <w:rPr>
          <w:rFonts w:hint="eastAsia" w:ascii="宋体" w:hAnsi="宋体" w:eastAsia="宋体" w:cs="宋体"/>
          <w:caps w:val="0"/>
          <w:color w:val="000000" w:themeColor="text1"/>
          <w:spacing w:val="0"/>
          <w:sz w:val="24"/>
          <w:szCs w:val="24"/>
          <w14:textFill>
            <w14:solidFill>
              <w14:schemeClr w14:val="tx1"/>
            </w14:solidFill>
          </w14:textFill>
        </w:rPr>
        <w:t>号）（以下简称问询函）。深交所上市审核中心对公司提交的向特定对象发行股票的申请文件进行了审核，并形成了审核问询问题。公司收到问询函后，会同相关中介机构按照要求对问询函所列问题进行了认真研究、深入核查和逐项落实，并结合公司披露的《</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2023</w:t>
      </w:r>
      <w:r>
        <w:rPr>
          <w:rFonts w:hint="eastAsia" w:ascii="宋体" w:hAnsi="宋体" w:eastAsia="宋体" w:cs="宋体"/>
          <w:caps w:val="0"/>
          <w:color w:val="000000" w:themeColor="text1"/>
          <w:spacing w:val="0"/>
          <w:sz w:val="24"/>
          <w:szCs w:val="24"/>
          <w14:textFill>
            <w14:solidFill>
              <w14:schemeClr w14:val="tx1"/>
            </w14:solidFill>
          </w14:textFill>
        </w:rPr>
        <w:t>年半年度报告》，对问询函所列问题进行了逐项说明和回复，同时对募集说明书等申请文件进行了相应补充和更新（具体情况详见公司于</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2023</w:t>
      </w:r>
      <w:r>
        <w:rPr>
          <w:rFonts w:hint="eastAsia" w:ascii="宋体" w:hAnsi="宋体" w:eastAsia="宋体" w:cs="宋体"/>
          <w:caps w:val="0"/>
          <w:color w:val="000000" w:themeColor="text1"/>
          <w:spacing w:val="0"/>
          <w:sz w:val="24"/>
          <w:szCs w:val="24"/>
          <w14:textFill>
            <w14:solidFill>
              <w14:schemeClr w14:val="tx1"/>
            </w14:solidFill>
          </w14:textFill>
        </w:rPr>
        <w:t>年</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8</w:t>
      </w:r>
      <w:r>
        <w:rPr>
          <w:rFonts w:hint="eastAsia" w:ascii="宋体" w:hAnsi="宋体" w:eastAsia="宋体" w:cs="宋体"/>
          <w:caps w:val="0"/>
          <w:color w:val="000000" w:themeColor="text1"/>
          <w:spacing w:val="0"/>
          <w:sz w:val="24"/>
          <w:szCs w:val="24"/>
          <w14:textFill>
            <w14:solidFill>
              <w14:schemeClr w14:val="tx1"/>
            </w14:solidFill>
          </w14:textFill>
        </w:rPr>
        <w:t>月</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22</w:t>
      </w:r>
      <w:r>
        <w:rPr>
          <w:rFonts w:hint="eastAsia" w:ascii="宋体" w:hAnsi="宋体" w:eastAsia="宋体" w:cs="宋体"/>
          <w:caps w:val="0"/>
          <w:color w:val="000000" w:themeColor="text1"/>
          <w:spacing w:val="0"/>
          <w:sz w:val="24"/>
          <w:szCs w:val="24"/>
          <w14:textFill>
            <w14:solidFill>
              <w14:schemeClr w14:val="tx1"/>
            </w14:solidFill>
          </w14:textFill>
        </w:rPr>
        <w:t>日、</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9</w:t>
      </w:r>
      <w:r>
        <w:rPr>
          <w:rFonts w:hint="eastAsia" w:ascii="宋体" w:hAnsi="宋体" w:eastAsia="宋体" w:cs="宋体"/>
          <w:caps w:val="0"/>
          <w:color w:val="000000" w:themeColor="text1"/>
          <w:spacing w:val="0"/>
          <w:sz w:val="24"/>
          <w:szCs w:val="24"/>
          <w14:textFill>
            <w14:solidFill>
              <w14:schemeClr w14:val="tx1"/>
            </w14:solidFill>
          </w14:textFill>
        </w:rPr>
        <w:t>月</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7</w:t>
      </w:r>
      <w:r>
        <w:rPr>
          <w:rFonts w:hint="eastAsia" w:ascii="宋体" w:hAnsi="宋体" w:eastAsia="宋体" w:cs="宋体"/>
          <w:caps w:val="0"/>
          <w:color w:val="000000" w:themeColor="text1"/>
          <w:spacing w:val="0"/>
          <w:sz w:val="24"/>
          <w:szCs w:val="24"/>
          <w14:textFill>
            <w14:solidFill>
              <w14:schemeClr w14:val="tx1"/>
            </w14:solidFill>
          </w14:textFill>
        </w:rPr>
        <w:t>日在《中国证券报》《证券时报》和巨潮资讯网上披露的有关公告，公告编号：</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2023-079</w:t>
      </w:r>
      <w:r>
        <w:rPr>
          <w:rFonts w:hint="eastAsia" w:ascii="宋体" w:hAnsi="宋体" w:eastAsia="宋体" w:cs="宋体"/>
          <w:caps w:val="0"/>
          <w:color w:val="000000" w:themeColor="text1"/>
          <w:spacing w:val="0"/>
          <w:sz w:val="24"/>
          <w:szCs w:val="24"/>
          <w14:textFill>
            <w14:solidFill>
              <w14:schemeClr w14:val="tx1"/>
            </w14:solidFill>
          </w14:textFill>
        </w:rPr>
        <w:t>、</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086</w:t>
      </w:r>
      <w:r>
        <w:rPr>
          <w:rFonts w:hint="eastAsia" w:ascii="宋体" w:hAnsi="宋体" w:eastAsia="宋体" w:cs="宋体"/>
          <w:caps w:val="0"/>
          <w:color w:val="000000" w:themeColor="text1"/>
          <w:spacing w:val="0"/>
          <w:sz w:val="24"/>
          <w:szCs w:val="24"/>
          <w14:textFill>
            <w14:solidFill>
              <w14:schemeClr w14:val="tx1"/>
            </w14:solidFill>
          </w14:textFill>
        </w:rPr>
        <w:t>）。</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2"/>
        <w:jc w:val="both"/>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caps w:val="0"/>
          <w:color w:val="000000" w:themeColor="text1"/>
          <w:spacing w:val="0"/>
          <w:sz w:val="24"/>
          <w:szCs w:val="24"/>
          <w14:textFill>
            <w14:solidFill>
              <w14:schemeClr w14:val="tx1"/>
            </w14:solidFill>
          </w14:textFill>
        </w:rPr>
        <w:t>5. </w:t>
      </w:r>
      <w:r>
        <w:rPr>
          <w:rFonts w:hint="eastAsia" w:ascii="宋体" w:hAnsi="宋体" w:eastAsia="宋体" w:cs="宋体"/>
          <w:caps w:val="0"/>
          <w:color w:val="000000" w:themeColor="text1"/>
          <w:spacing w:val="0"/>
          <w:sz w:val="24"/>
          <w:szCs w:val="24"/>
          <w14:textFill>
            <w14:solidFill>
              <w14:schemeClr w14:val="tx1"/>
            </w14:solidFill>
          </w14:textFill>
        </w:rPr>
        <w:t>报告期内，经公司第十届董事会第十七次会议审议通过，公司进行了会计政策变更，变更执行日期为</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2023</w:t>
      </w:r>
      <w:r>
        <w:rPr>
          <w:rFonts w:hint="eastAsia" w:ascii="宋体" w:hAnsi="宋体" w:eastAsia="宋体" w:cs="宋体"/>
          <w:caps w:val="0"/>
          <w:color w:val="000000" w:themeColor="text1"/>
          <w:spacing w:val="0"/>
          <w:sz w:val="24"/>
          <w:szCs w:val="24"/>
          <w14:textFill>
            <w14:solidFill>
              <w14:schemeClr w14:val="tx1"/>
            </w14:solidFill>
          </w14:textFill>
        </w:rPr>
        <w:t>年</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1</w:t>
      </w:r>
      <w:r>
        <w:rPr>
          <w:rFonts w:hint="eastAsia" w:ascii="宋体" w:hAnsi="宋体" w:eastAsia="宋体" w:cs="宋体"/>
          <w:caps w:val="0"/>
          <w:color w:val="000000" w:themeColor="text1"/>
          <w:spacing w:val="0"/>
          <w:sz w:val="24"/>
          <w:szCs w:val="24"/>
          <w14:textFill>
            <w14:solidFill>
              <w14:schemeClr w14:val="tx1"/>
            </w14:solidFill>
          </w14:textFill>
        </w:rPr>
        <w:t>月</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1</w:t>
      </w:r>
      <w:r>
        <w:rPr>
          <w:rFonts w:hint="eastAsia" w:ascii="宋体" w:hAnsi="宋体" w:eastAsia="宋体" w:cs="宋体"/>
          <w:caps w:val="0"/>
          <w:color w:val="000000" w:themeColor="text1"/>
          <w:spacing w:val="0"/>
          <w:sz w:val="24"/>
          <w:szCs w:val="24"/>
          <w14:textFill>
            <w14:solidFill>
              <w14:schemeClr w14:val="tx1"/>
            </w14:solidFill>
          </w14:textFill>
        </w:rPr>
        <w:t>日。本次会计政策变更前，公司执行的是财政部发布的《企业会计准则</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w:t>
      </w:r>
      <w:r>
        <w:rPr>
          <w:rFonts w:hint="eastAsia" w:ascii="宋体" w:hAnsi="宋体" w:eastAsia="宋体" w:cs="宋体"/>
          <w:caps w:val="0"/>
          <w:color w:val="000000" w:themeColor="text1"/>
          <w:spacing w:val="0"/>
          <w:sz w:val="24"/>
          <w:szCs w:val="24"/>
          <w14:textFill>
            <w14:solidFill>
              <w14:schemeClr w14:val="tx1"/>
            </w14:solidFill>
          </w14:textFill>
        </w:rPr>
        <w:t>基本准则》和各项具体会计准则、企业会计准则应用指南、企业会计准则解释公告以及其他相关规定。本次会计政策变更后，公司将按照财政部发布的《企业会计准则解释第</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16</w:t>
      </w:r>
      <w:r>
        <w:rPr>
          <w:rFonts w:hint="eastAsia" w:ascii="宋体" w:hAnsi="宋体" w:eastAsia="宋体" w:cs="宋体"/>
          <w:caps w:val="0"/>
          <w:color w:val="000000" w:themeColor="text1"/>
          <w:spacing w:val="0"/>
          <w:sz w:val="24"/>
          <w:szCs w:val="24"/>
          <w14:textFill>
            <w14:solidFill>
              <w14:schemeClr w14:val="tx1"/>
            </w14:solidFill>
          </w14:textFill>
        </w:rPr>
        <w:t>号》（财会〔</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2022</w:t>
      </w:r>
      <w:r>
        <w:rPr>
          <w:rFonts w:hint="eastAsia" w:ascii="宋体" w:hAnsi="宋体" w:eastAsia="宋体" w:cs="宋体"/>
          <w:caps w:val="0"/>
          <w:color w:val="000000" w:themeColor="text1"/>
          <w:spacing w:val="0"/>
          <w:sz w:val="24"/>
          <w:szCs w:val="24"/>
          <w14:textFill>
            <w14:solidFill>
              <w14:schemeClr w14:val="tx1"/>
            </w14:solidFill>
          </w14:textFill>
        </w:rPr>
        <w:t>〕</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31</w:t>
      </w:r>
      <w:r>
        <w:rPr>
          <w:rFonts w:hint="eastAsia" w:ascii="宋体" w:hAnsi="宋体" w:eastAsia="宋体" w:cs="宋体"/>
          <w:caps w:val="0"/>
          <w:color w:val="000000" w:themeColor="text1"/>
          <w:spacing w:val="0"/>
          <w:sz w:val="24"/>
          <w:szCs w:val="24"/>
          <w14:textFill>
            <w14:solidFill>
              <w14:schemeClr w14:val="tx1"/>
            </w14:solidFill>
          </w14:textFill>
        </w:rPr>
        <w:t>号）的相关规定执行。其他未变更部分，仍按照财政部前期发布的《企业会计准则</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w:t>
      </w:r>
      <w:r>
        <w:rPr>
          <w:rFonts w:hint="eastAsia" w:ascii="宋体" w:hAnsi="宋体" w:eastAsia="宋体" w:cs="宋体"/>
          <w:caps w:val="0"/>
          <w:color w:val="000000" w:themeColor="text1"/>
          <w:spacing w:val="0"/>
          <w:sz w:val="24"/>
          <w:szCs w:val="24"/>
          <w14:textFill>
            <w14:solidFill>
              <w14:schemeClr w14:val="tx1"/>
            </w14:solidFill>
          </w14:textFill>
        </w:rPr>
        <w:t>基本准则》和各项具体会计准则、企业会计准则应用指南、企业会计准则解释公告以及其他相关规定执行（具体内容详见公司于</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2023</w:t>
      </w:r>
      <w:r>
        <w:rPr>
          <w:rFonts w:hint="eastAsia" w:ascii="宋体" w:hAnsi="宋体" w:eastAsia="宋体" w:cs="宋体"/>
          <w:caps w:val="0"/>
          <w:color w:val="000000" w:themeColor="text1"/>
          <w:spacing w:val="0"/>
          <w:sz w:val="24"/>
          <w:szCs w:val="24"/>
          <w14:textFill>
            <w14:solidFill>
              <w14:schemeClr w14:val="tx1"/>
            </w14:solidFill>
          </w14:textFill>
        </w:rPr>
        <w:t>年</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8</w:t>
      </w:r>
      <w:r>
        <w:rPr>
          <w:rFonts w:hint="eastAsia" w:ascii="宋体" w:hAnsi="宋体" w:eastAsia="宋体" w:cs="宋体"/>
          <w:caps w:val="0"/>
          <w:color w:val="000000" w:themeColor="text1"/>
          <w:spacing w:val="0"/>
          <w:sz w:val="24"/>
          <w:szCs w:val="24"/>
          <w14:textFill>
            <w14:solidFill>
              <w14:schemeClr w14:val="tx1"/>
            </w14:solidFill>
          </w14:textFill>
        </w:rPr>
        <w:t>月</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25</w:t>
      </w:r>
      <w:r>
        <w:rPr>
          <w:rFonts w:hint="eastAsia" w:ascii="宋体" w:hAnsi="宋体" w:eastAsia="宋体" w:cs="宋体"/>
          <w:caps w:val="0"/>
          <w:color w:val="000000" w:themeColor="text1"/>
          <w:spacing w:val="0"/>
          <w:sz w:val="24"/>
          <w:szCs w:val="24"/>
          <w14:textFill>
            <w14:solidFill>
              <w14:schemeClr w14:val="tx1"/>
            </w14:solidFill>
          </w14:textFill>
        </w:rPr>
        <w:t>日在《中国证券报》《证券时报》和巨潮资讯网上披露的《关于会计政策变更的公告》，公告编号：</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2023-084</w:t>
      </w:r>
      <w:r>
        <w:rPr>
          <w:rFonts w:hint="eastAsia" w:ascii="宋体" w:hAnsi="宋体" w:eastAsia="宋体" w:cs="宋体"/>
          <w:caps w:val="0"/>
          <w:color w:val="000000" w:themeColor="text1"/>
          <w:spacing w:val="0"/>
          <w:sz w:val="24"/>
          <w:szCs w:val="24"/>
          <w14:textFill>
            <w14:solidFill>
              <w14:schemeClr w14:val="tx1"/>
            </w14:solidFill>
          </w14:textFill>
        </w:rPr>
        <w:t>）。</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2"/>
        <w:jc w:val="both"/>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caps w:val="0"/>
          <w:color w:val="000000" w:themeColor="text1"/>
          <w:spacing w:val="0"/>
          <w:sz w:val="24"/>
          <w:szCs w:val="24"/>
          <w14:textFill>
            <w14:solidFill>
              <w14:schemeClr w14:val="tx1"/>
            </w14:solidFill>
          </w14:textFill>
        </w:rPr>
        <w:t>6. 2023</w:t>
      </w:r>
      <w:r>
        <w:rPr>
          <w:rFonts w:hint="eastAsia" w:ascii="宋体" w:hAnsi="宋体" w:eastAsia="宋体" w:cs="宋体"/>
          <w:caps w:val="0"/>
          <w:color w:val="000000" w:themeColor="text1"/>
          <w:spacing w:val="0"/>
          <w:sz w:val="24"/>
          <w:szCs w:val="24"/>
          <w14:textFill>
            <w14:solidFill>
              <w14:schemeClr w14:val="tx1"/>
            </w14:solidFill>
          </w14:textFill>
        </w:rPr>
        <w:t>年</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6</w:t>
      </w:r>
      <w:r>
        <w:rPr>
          <w:rFonts w:hint="eastAsia" w:ascii="宋体" w:hAnsi="宋体" w:eastAsia="宋体" w:cs="宋体"/>
          <w:caps w:val="0"/>
          <w:color w:val="000000" w:themeColor="text1"/>
          <w:spacing w:val="0"/>
          <w:sz w:val="24"/>
          <w:szCs w:val="24"/>
          <w14:textFill>
            <w14:solidFill>
              <w14:schemeClr w14:val="tx1"/>
            </w14:solidFill>
          </w14:textFill>
        </w:rPr>
        <w:t>月</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29</w:t>
      </w:r>
      <w:r>
        <w:rPr>
          <w:rFonts w:hint="eastAsia" w:ascii="宋体" w:hAnsi="宋体" w:eastAsia="宋体" w:cs="宋体"/>
          <w:caps w:val="0"/>
          <w:color w:val="000000" w:themeColor="text1"/>
          <w:spacing w:val="0"/>
          <w:sz w:val="24"/>
          <w:szCs w:val="24"/>
          <w14:textFill>
            <w14:solidFill>
              <w14:schemeClr w14:val="tx1"/>
            </w14:solidFill>
          </w14:textFill>
        </w:rPr>
        <w:t>日、</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8</w:t>
      </w:r>
      <w:r>
        <w:rPr>
          <w:rFonts w:hint="eastAsia" w:ascii="宋体" w:hAnsi="宋体" w:eastAsia="宋体" w:cs="宋体"/>
          <w:caps w:val="0"/>
          <w:color w:val="000000" w:themeColor="text1"/>
          <w:spacing w:val="0"/>
          <w:sz w:val="24"/>
          <w:szCs w:val="24"/>
          <w14:textFill>
            <w14:solidFill>
              <w14:schemeClr w14:val="tx1"/>
            </w14:solidFill>
          </w14:textFill>
        </w:rPr>
        <w:t>月</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24</w:t>
      </w:r>
      <w:r>
        <w:rPr>
          <w:rFonts w:hint="eastAsia" w:ascii="宋体" w:hAnsi="宋体" w:eastAsia="宋体" w:cs="宋体"/>
          <w:caps w:val="0"/>
          <w:color w:val="000000" w:themeColor="text1"/>
          <w:spacing w:val="0"/>
          <w:sz w:val="24"/>
          <w:szCs w:val="24"/>
          <w14:textFill>
            <w14:solidFill>
              <w14:schemeClr w14:val="tx1"/>
            </w14:solidFill>
          </w14:textFill>
        </w:rPr>
        <w:t>日，经公司第十届董事会第十五次会议、</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2023</w:t>
      </w:r>
      <w:r>
        <w:rPr>
          <w:rFonts w:hint="eastAsia" w:ascii="宋体" w:hAnsi="宋体" w:eastAsia="宋体" w:cs="宋体"/>
          <w:caps w:val="0"/>
          <w:color w:val="000000" w:themeColor="text1"/>
          <w:spacing w:val="0"/>
          <w:sz w:val="24"/>
          <w:szCs w:val="24"/>
          <w14:textFill>
            <w14:solidFill>
              <w14:schemeClr w14:val="tx1"/>
            </w14:solidFill>
          </w14:textFill>
        </w:rPr>
        <w:t>年第四次临时股东大会审议通过，为拓展融资渠道，优化债务结构，公司拟与国能（北京）商业保理有限公司（以下简称国能保理）开展商业保理业务并与其签订《商业保理相关服务协议》，协议约定公司与国能保理开展商业保理业务（含相关费用）金额每年不超过</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10</w:t>
      </w:r>
      <w:r>
        <w:rPr>
          <w:rFonts w:hint="eastAsia" w:ascii="宋体" w:hAnsi="宋体" w:eastAsia="宋体" w:cs="宋体"/>
          <w:caps w:val="0"/>
          <w:color w:val="000000" w:themeColor="text1"/>
          <w:spacing w:val="0"/>
          <w:sz w:val="24"/>
          <w:szCs w:val="24"/>
          <w14:textFill>
            <w14:solidFill>
              <w14:schemeClr w14:val="tx1"/>
            </w14:solidFill>
          </w14:textFill>
        </w:rPr>
        <w:t>亿元，协议有效期两年。</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2023</w:t>
      </w:r>
      <w:r>
        <w:rPr>
          <w:rFonts w:hint="eastAsia" w:ascii="宋体" w:hAnsi="宋体" w:eastAsia="宋体" w:cs="宋体"/>
          <w:caps w:val="0"/>
          <w:color w:val="000000" w:themeColor="text1"/>
          <w:spacing w:val="0"/>
          <w:sz w:val="24"/>
          <w:szCs w:val="24"/>
          <w14:textFill>
            <w14:solidFill>
              <w14:schemeClr w14:val="tx1"/>
            </w14:solidFill>
          </w14:textFill>
        </w:rPr>
        <w:t>年</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9</w:t>
      </w:r>
      <w:r>
        <w:rPr>
          <w:rFonts w:hint="eastAsia" w:ascii="宋体" w:hAnsi="宋体" w:eastAsia="宋体" w:cs="宋体"/>
          <w:caps w:val="0"/>
          <w:color w:val="000000" w:themeColor="text1"/>
          <w:spacing w:val="0"/>
          <w:sz w:val="24"/>
          <w:szCs w:val="24"/>
          <w14:textFill>
            <w14:solidFill>
              <w14:schemeClr w14:val="tx1"/>
            </w14:solidFill>
          </w14:textFill>
        </w:rPr>
        <w:t>月</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7</w:t>
      </w:r>
      <w:r>
        <w:rPr>
          <w:rFonts w:hint="eastAsia" w:ascii="宋体" w:hAnsi="宋体" w:eastAsia="宋体" w:cs="宋体"/>
          <w:caps w:val="0"/>
          <w:color w:val="000000" w:themeColor="text1"/>
          <w:spacing w:val="0"/>
          <w:sz w:val="24"/>
          <w:szCs w:val="24"/>
          <w14:textFill>
            <w14:solidFill>
              <w14:schemeClr w14:val="tx1"/>
            </w14:solidFill>
          </w14:textFill>
        </w:rPr>
        <w:t>日，公司与国能保理签署了《商业保理相关服务协议》（具体情况详见公司于</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2023</w:t>
      </w:r>
      <w:r>
        <w:rPr>
          <w:rFonts w:hint="eastAsia" w:ascii="宋体" w:hAnsi="宋体" w:eastAsia="宋体" w:cs="宋体"/>
          <w:caps w:val="0"/>
          <w:color w:val="000000" w:themeColor="text1"/>
          <w:spacing w:val="0"/>
          <w:sz w:val="24"/>
          <w:szCs w:val="24"/>
          <w14:textFill>
            <w14:solidFill>
              <w14:schemeClr w14:val="tx1"/>
            </w14:solidFill>
          </w14:textFill>
        </w:rPr>
        <w:t>年</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6</w:t>
      </w:r>
      <w:r>
        <w:rPr>
          <w:rFonts w:hint="eastAsia" w:ascii="宋体" w:hAnsi="宋体" w:eastAsia="宋体" w:cs="宋体"/>
          <w:caps w:val="0"/>
          <w:color w:val="000000" w:themeColor="text1"/>
          <w:spacing w:val="0"/>
          <w:sz w:val="24"/>
          <w:szCs w:val="24"/>
          <w14:textFill>
            <w14:solidFill>
              <w14:schemeClr w14:val="tx1"/>
            </w14:solidFill>
          </w14:textFill>
        </w:rPr>
        <w:t>月</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30</w:t>
      </w:r>
      <w:r>
        <w:rPr>
          <w:rFonts w:hint="eastAsia" w:ascii="宋体" w:hAnsi="宋体" w:eastAsia="宋体" w:cs="宋体"/>
          <w:caps w:val="0"/>
          <w:color w:val="000000" w:themeColor="text1"/>
          <w:spacing w:val="0"/>
          <w:sz w:val="24"/>
          <w:szCs w:val="24"/>
          <w14:textFill>
            <w14:solidFill>
              <w14:schemeClr w14:val="tx1"/>
            </w14:solidFill>
          </w14:textFill>
        </w:rPr>
        <w:t>日、</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8</w:t>
      </w:r>
      <w:r>
        <w:rPr>
          <w:rFonts w:hint="eastAsia" w:ascii="宋体" w:hAnsi="宋体" w:eastAsia="宋体" w:cs="宋体"/>
          <w:caps w:val="0"/>
          <w:color w:val="000000" w:themeColor="text1"/>
          <w:spacing w:val="0"/>
          <w:sz w:val="24"/>
          <w:szCs w:val="24"/>
          <w14:textFill>
            <w14:solidFill>
              <w14:schemeClr w14:val="tx1"/>
            </w14:solidFill>
          </w14:textFill>
        </w:rPr>
        <w:t>月</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25</w:t>
      </w:r>
      <w:r>
        <w:rPr>
          <w:rFonts w:hint="eastAsia" w:ascii="宋体" w:hAnsi="宋体" w:eastAsia="宋体" w:cs="宋体"/>
          <w:caps w:val="0"/>
          <w:color w:val="000000" w:themeColor="text1"/>
          <w:spacing w:val="0"/>
          <w:sz w:val="24"/>
          <w:szCs w:val="24"/>
          <w14:textFill>
            <w14:solidFill>
              <w14:schemeClr w14:val="tx1"/>
            </w14:solidFill>
          </w14:textFill>
        </w:rPr>
        <w:t>日、</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9</w:t>
      </w:r>
      <w:r>
        <w:rPr>
          <w:rFonts w:hint="eastAsia" w:ascii="宋体" w:hAnsi="宋体" w:eastAsia="宋体" w:cs="宋体"/>
          <w:caps w:val="0"/>
          <w:color w:val="000000" w:themeColor="text1"/>
          <w:spacing w:val="0"/>
          <w:sz w:val="24"/>
          <w:szCs w:val="24"/>
          <w14:textFill>
            <w14:solidFill>
              <w14:schemeClr w14:val="tx1"/>
            </w14:solidFill>
          </w14:textFill>
        </w:rPr>
        <w:t>月</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9</w:t>
      </w:r>
      <w:r>
        <w:rPr>
          <w:rFonts w:hint="eastAsia" w:ascii="宋体" w:hAnsi="宋体" w:eastAsia="宋体" w:cs="宋体"/>
          <w:caps w:val="0"/>
          <w:color w:val="000000" w:themeColor="text1"/>
          <w:spacing w:val="0"/>
          <w:sz w:val="24"/>
          <w:szCs w:val="24"/>
          <w14:textFill>
            <w14:solidFill>
              <w14:schemeClr w14:val="tx1"/>
            </w14:solidFill>
          </w14:textFill>
        </w:rPr>
        <w:t>日在《中国证券报》《证券时报》和巨潮资讯网上披露的有关公告，公告编号：</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2023-065</w:t>
      </w:r>
      <w:r>
        <w:rPr>
          <w:rFonts w:hint="eastAsia" w:ascii="宋体" w:hAnsi="宋体" w:eastAsia="宋体" w:cs="宋体"/>
          <w:caps w:val="0"/>
          <w:color w:val="000000" w:themeColor="text1"/>
          <w:spacing w:val="0"/>
          <w:sz w:val="24"/>
          <w:szCs w:val="24"/>
          <w14:textFill>
            <w14:solidFill>
              <w14:schemeClr w14:val="tx1"/>
            </w14:solidFill>
          </w14:textFill>
        </w:rPr>
        <w:t>、</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080</w:t>
      </w:r>
      <w:r>
        <w:rPr>
          <w:rFonts w:hint="eastAsia" w:ascii="宋体" w:hAnsi="宋体" w:eastAsia="宋体" w:cs="宋体"/>
          <w:caps w:val="0"/>
          <w:color w:val="000000" w:themeColor="text1"/>
          <w:spacing w:val="0"/>
          <w:sz w:val="24"/>
          <w:szCs w:val="24"/>
          <w14:textFill>
            <w14:solidFill>
              <w14:schemeClr w14:val="tx1"/>
            </w14:solidFill>
          </w14:textFill>
        </w:rPr>
        <w:t>、</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087</w:t>
      </w:r>
      <w:r>
        <w:rPr>
          <w:rFonts w:hint="eastAsia" w:ascii="宋体" w:hAnsi="宋体" w:eastAsia="宋体" w:cs="宋体"/>
          <w:caps w:val="0"/>
          <w:color w:val="000000" w:themeColor="text1"/>
          <w:spacing w:val="0"/>
          <w:sz w:val="24"/>
          <w:szCs w:val="24"/>
          <w14:textFill>
            <w14:solidFill>
              <w14:schemeClr w14:val="tx1"/>
            </w14:solidFill>
          </w14:textFill>
        </w:rPr>
        <w:t>）。</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2"/>
        <w:jc w:val="both"/>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caps w:val="0"/>
          <w:color w:val="000000" w:themeColor="text1"/>
          <w:spacing w:val="0"/>
          <w:sz w:val="24"/>
          <w:szCs w:val="24"/>
          <w14:textFill>
            <w14:solidFill>
              <w14:schemeClr w14:val="tx1"/>
            </w14:solidFill>
          </w14:textFill>
        </w:rPr>
        <w:t>7. 2023</w:t>
      </w:r>
      <w:r>
        <w:rPr>
          <w:rFonts w:hint="eastAsia" w:ascii="宋体" w:hAnsi="宋体" w:eastAsia="宋体" w:cs="宋体"/>
          <w:caps w:val="0"/>
          <w:color w:val="000000" w:themeColor="text1"/>
          <w:spacing w:val="0"/>
          <w:sz w:val="24"/>
          <w:szCs w:val="24"/>
          <w14:textFill>
            <w14:solidFill>
              <w14:schemeClr w14:val="tx1"/>
            </w14:solidFill>
          </w14:textFill>
        </w:rPr>
        <w:t>年</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6</w:t>
      </w:r>
      <w:r>
        <w:rPr>
          <w:rFonts w:hint="eastAsia" w:ascii="宋体" w:hAnsi="宋体" w:eastAsia="宋体" w:cs="宋体"/>
          <w:caps w:val="0"/>
          <w:color w:val="000000" w:themeColor="text1"/>
          <w:spacing w:val="0"/>
          <w:sz w:val="24"/>
          <w:szCs w:val="24"/>
          <w14:textFill>
            <w14:solidFill>
              <w14:schemeClr w14:val="tx1"/>
            </w14:solidFill>
          </w14:textFill>
        </w:rPr>
        <w:t>月</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29</w:t>
      </w:r>
      <w:r>
        <w:rPr>
          <w:rFonts w:hint="eastAsia" w:ascii="宋体" w:hAnsi="宋体" w:eastAsia="宋体" w:cs="宋体"/>
          <w:caps w:val="0"/>
          <w:color w:val="000000" w:themeColor="text1"/>
          <w:spacing w:val="0"/>
          <w:sz w:val="24"/>
          <w:szCs w:val="24"/>
          <w14:textFill>
            <w14:solidFill>
              <w14:schemeClr w14:val="tx1"/>
            </w14:solidFill>
          </w14:textFill>
        </w:rPr>
        <w:t>日、</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8</w:t>
      </w:r>
      <w:r>
        <w:rPr>
          <w:rFonts w:hint="eastAsia" w:ascii="宋体" w:hAnsi="宋体" w:eastAsia="宋体" w:cs="宋体"/>
          <w:caps w:val="0"/>
          <w:color w:val="000000" w:themeColor="text1"/>
          <w:spacing w:val="0"/>
          <w:sz w:val="24"/>
          <w:szCs w:val="24"/>
          <w14:textFill>
            <w14:solidFill>
              <w14:schemeClr w14:val="tx1"/>
            </w14:solidFill>
          </w14:textFill>
        </w:rPr>
        <w:t>月</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24</w:t>
      </w:r>
      <w:r>
        <w:rPr>
          <w:rFonts w:hint="eastAsia" w:ascii="宋体" w:hAnsi="宋体" w:eastAsia="宋体" w:cs="宋体"/>
          <w:caps w:val="0"/>
          <w:color w:val="000000" w:themeColor="text1"/>
          <w:spacing w:val="0"/>
          <w:sz w:val="24"/>
          <w:szCs w:val="24"/>
          <w14:textFill>
            <w14:solidFill>
              <w14:schemeClr w14:val="tx1"/>
            </w14:solidFill>
          </w14:textFill>
        </w:rPr>
        <w:t>日，经公司第十届董事会第十五次会议、</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2023</w:t>
      </w:r>
      <w:r>
        <w:rPr>
          <w:rFonts w:hint="eastAsia" w:ascii="宋体" w:hAnsi="宋体" w:eastAsia="宋体" w:cs="宋体"/>
          <w:caps w:val="0"/>
          <w:color w:val="000000" w:themeColor="text1"/>
          <w:spacing w:val="0"/>
          <w:sz w:val="24"/>
          <w:szCs w:val="24"/>
          <w14:textFill>
            <w14:solidFill>
              <w14:schemeClr w14:val="tx1"/>
            </w14:solidFill>
          </w14:textFill>
        </w:rPr>
        <w:t>年第四次临时股东大会审议通过，为拓展融资渠道，优化债务结构，公司拟与国能融资租赁有限公司（以下简称国能融资租赁）开展融资租赁业务并与其签订《融资租赁相关服务协议》，协议约定公司与国能融资租赁开展融资租赁业务金额（含相关费用）每年不超过</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20</w:t>
      </w:r>
      <w:r>
        <w:rPr>
          <w:rFonts w:hint="eastAsia" w:ascii="宋体" w:hAnsi="宋体" w:eastAsia="宋体" w:cs="宋体"/>
          <w:caps w:val="0"/>
          <w:color w:val="000000" w:themeColor="text1"/>
          <w:spacing w:val="0"/>
          <w:sz w:val="24"/>
          <w:szCs w:val="24"/>
          <w14:textFill>
            <w14:solidFill>
              <w14:schemeClr w14:val="tx1"/>
            </w14:solidFill>
          </w14:textFill>
        </w:rPr>
        <w:t>亿元，协议有效期两年。</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2023</w:t>
      </w:r>
      <w:r>
        <w:rPr>
          <w:rFonts w:hint="eastAsia" w:ascii="宋体" w:hAnsi="宋体" w:eastAsia="宋体" w:cs="宋体"/>
          <w:caps w:val="0"/>
          <w:color w:val="000000" w:themeColor="text1"/>
          <w:spacing w:val="0"/>
          <w:sz w:val="24"/>
          <w:szCs w:val="24"/>
          <w14:textFill>
            <w14:solidFill>
              <w14:schemeClr w14:val="tx1"/>
            </w14:solidFill>
          </w14:textFill>
        </w:rPr>
        <w:t>年</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9</w:t>
      </w:r>
      <w:r>
        <w:rPr>
          <w:rFonts w:hint="eastAsia" w:ascii="宋体" w:hAnsi="宋体" w:eastAsia="宋体" w:cs="宋体"/>
          <w:caps w:val="0"/>
          <w:color w:val="000000" w:themeColor="text1"/>
          <w:spacing w:val="0"/>
          <w:sz w:val="24"/>
          <w:szCs w:val="24"/>
          <w14:textFill>
            <w14:solidFill>
              <w14:schemeClr w14:val="tx1"/>
            </w14:solidFill>
          </w14:textFill>
        </w:rPr>
        <w:t>月</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11</w:t>
      </w:r>
      <w:r>
        <w:rPr>
          <w:rFonts w:hint="eastAsia" w:ascii="宋体" w:hAnsi="宋体" w:eastAsia="宋体" w:cs="宋体"/>
          <w:caps w:val="0"/>
          <w:color w:val="000000" w:themeColor="text1"/>
          <w:spacing w:val="0"/>
          <w:sz w:val="24"/>
          <w:szCs w:val="24"/>
          <w14:textFill>
            <w14:solidFill>
              <w14:schemeClr w14:val="tx1"/>
            </w14:solidFill>
          </w14:textFill>
        </w:rPr>
        <w:t>日，公司与国能融资租赁签署了《融资租赁相关服务协议》（具体情况详见公司于</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2023</w:t>
      </w:r>
      <w:r>
        <w:rPr>
          <w:rFonts w:hint="eastAsia" w:ascii="宋体" w:hAnsi="宋体" w:eastAsia="宋体" w:cs="宋体"/>
          <w:caps w:val="0"/>
          <w:color w:val="000000" w:themeColor="text1"/>
          <w:spacing w:val="0"/>
          <w:sz w:val="24"/>
          <w:szCs w:val="24"/>
          <w14:textFill>
            <w14:solidFill>
              <w14:schemeClr w14:val="tx1"/>
            </w14:solidFill>
          </w14:textFill>
        </w:rPr>
        <w:t>年</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6</w:t>
      </w:r>
      <w:r>
        <w:rPr>
          <w:rFonts w:hint="eastAsia" w:ascii="宋体" w:hAnsi="宋体" w:eastAsia="宋体" w:cs="宋体"/>
          <w:caps w:val="0"/>
          <w:color w:val="000000" w:themeColor="text1"/>
          <w:spacing w:val="0"/>
          <w:sz w:val="24"/>
          <w:szCs w:val="24"/>
          <w14:textFill>
            <w14:solidFill>
              <w14:schemeClr w14:val="tx1"/>
            </w14:solidFill>
          </w14:textFill>
        </w:rPr>
        <w:t>月</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30</w:t>
      </w:r>
      <w:r>
        <w:rPr>
          <w:rFonts w:hint="eastAsia" w:ascii="宋体" w:hAnsi="宋体" w:eastAsia="宋体" w:cs="宋体"/>
          <w:caps w:val="0"/>
          <w:color w:val="000000" w:themeColor="text1"/>
          <w:spacing w:val="0"/>
          <w:sz w:val="24"/>
          <w:szCs w:val="24"/>
          <w14:textFill>
            <w14:solidFill>
              <w14:schemeClr w14:val="tx1"/>
            </w14:solidFill>
          </w14:textFill>
        </w:rPr>
        <w:t>日、</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8</w:t>
      </w:r>
      <w:r>
        <w:rPr>
          <w:rFonts w:hint="eastAsia" w:ascii="宋体" w:hAnsi="宋体" w:eastAsia="宋体" w:cs="宋体"/>
          <w:caps w:val="0"/>
          <w:color w:val="000000" w:themeColor="text1"/>
          <w:spacing w:val="0"/>
          <w:sz w:val="24"/>
          <w:szCs w:val="24"/>
          <w14:textFill>
            <w14:solidFill>
              <w14:schemeClr w14:val="tx1"/>
            </w14:solidFill>
          </w14:textFill>
        </w:rPr>
        <w:t>月</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25</w:t>
      </w:r>
      <w:r>
        <w:rPr>
          <w:rFonts w:hint="eastAsia" w:ascii="宋体" w:hAnsi="宋体" w:eastAsia="宋体" w:cs="宋体"/>
          <w:caps w:val="0"/>
          <w:color w:val="000000" w:themeColor="text1"/>
          <w:spacing w:val="0"/>
          <w:sz w:val="24"/>
          <w:szCs w:val="24"/>
          <w14:textFill>
            <w14:solidFill>
              <w14:schemeClr w14:val="tx1"/>
            </w14:solidFill>
          </w14:textFill>
        </w:rPr>
        <w:t>日、</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9</w:t>
      </w:r>
      <w:r>
        <w:rPr>
          <w:rFonts w:hint="eastAsia" w:ascii="宋体" w:hAnsi="宋体" w:eastAsia="宋体" w:cs="宋体"/>
          <w:caps w:val="0"/>
          <w:color w:val="000000" w:themeColor="text1"/>
          <w:spacing w:val="0"/>
          <w:sz w:val="24"/>
          <w:szCs w:val="24"/>
          <w14:textFill>
            <w14:solidFill>
              <w14:schemeClr w14:val="tx1"/>
            </w14:solidFill>
          </w14:textFill>
        </w:rPr>
        <w:t>月</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13</w:t>
      </w:r>
      <w:r>
        <w:rPr>
          <w:rFonts w:hint="eastAsia" w:ascii="宋体" w:hAnsi="宋体" w:eastAsia="宋体" w:cs="宋体"/>
          <w:caps w:val="0"/>
          <w:color w:val="000000" w:themeColor="text1"/>
          <w:spacing w:val="0"/>
          <w:sz w:val="24"/>
          <w:szCs w:val="24"/>
          <w14:textFill>
            <w14:solidFill>
              <w14:schemeClr w14:val="tx1"/>
            </w14:solidFill>
          </w14:textFill>
        </w:rPr>
        <w:t>日在《中国证券报》《证券时报》和巨潮资讯网上披露的有关公告，公告编号：</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2023-066</w:t>
      </w:r>
      <w:r>
        <w:rPr>
          <w:rFonts w:hint="eastAsia" w:ascii="宋体" w:hAnsi="宋体" w:eastAsia="宋体" w:cs="宋体"/>
          <w:caps w:val="0"/>
          <w:color w:val="000000" w:themeColor="text1"/>
          <w:spacing w:val="0"/>
          <w:sz w:val="24"/>
          <w:szCs w:val="24"/>
          <w14:textFill>
            <w14:solidFill>
              <w14:schemeClr w14:val="tx1"/>
            </w14:solidFill>
          </w14:textFill>
        </w:rPr>
        <w:t>、</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080</w:t>
      </w:r>
      <w:r>
        <w:rPr>
          <w:rFonts w:hint="eastAsia" w:ascii="宋体" w:hAnsi="宋体" w:eastAsia="宋体" w:cs="宋体"/>
          <w:caps w:val="0"/>
          <w:color w:val="000000" w:themeColor="text1"/>
          <w:spacing w:val="0"/>
          <w:sz w:val="24"/>
          <w:szCs w:val="24"/>
          <w14:textFill>
            <w14:solidFill>
              <w14:schemeClr w14:val="tx1"/>
            </w14:solidFill>
          </w14:textFill>
        </w:rPr>
        <w:t>、</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089</w:t>
      </w:r>
      <w:r>
        <w:rPr>
          <w:rFonts w:hint="eastAsia" w:ascii="宋体" w:hAnsi="宋体" w:eastAsia="宋体" w:cs="宋体"/>
          <w:caps w:val="0"/>
          <w:color w:val="000000" w:themeColor="text1"/>
          <w:spacing w:val="0"/>
          <w:sz w:val="24"/>
          <w:szCs w:val="24"/>
          <w14:textFill>
            <w14:solidFill>
              <w14:schemeClr w14:val="tx1"/>
            </w14:solidFill>
          </w14:textFill>
        </w:rPr>
        <w:t>）。</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2"/>
        <w:jc w:val="both"/>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caps w:val="0"/>
          <w:color w:val="000000" w:themeColor="text1"/>
          <w:spacing w:val="0"/>
          <w:sz w:val="24"/>
          <w:szCs w:val="24"/>
          <w14:textFill>
            <w14:solidFill>
              <w14:schemeClr w14:val="tx1"/>
            </w14:solidFill>
          </w14:textFill>
        </w:rPr>
        <w:t>8. </w:t>
      </w:r>
      <w:r>
        <w:rPr>
          <w:rFonts w:hint="eastAsia" w:ascii="宋体" w:hAnsi="宋体" w:eastAsia="宋体" w:cs="宋体"/>
          <w:caps w:val="0"/>
          <w:color w:val="000000" w:themeColor="text1"/>
          <w:spacing w:val="0"/>
          <w:sz w:val="24"/>
          <w:szCs w:val="24"/>
          <w14:textFill>
            <w14:solidFill>
              <w14:schemeClr w14:val="tx1"/>
            </w14:solidFill>
          </w14:textFill>
        </w:rPr>
        <w:t>报告期内，经公开招投标，公司所属子公司国能长源汉川发电有限公司（以下简称汉川公司）将其长源电力汉川公司四期</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2×1000MW</w:t>
      </w:r>
      <w:r>
        <w:rPr>
          <w:rFonts w:hint="eastAsia" w:ascii="宋体" w:hAnsi="宋体" w:eastAsia="宋体" w:cs="宋体"/>
          <w:caps w:val="0"/>
          <w:color w:val="000000" w:themeColor="text1"/>
          <w:spacing w:val="0"/>
          <w:sz w:val="24"/>
          <w:szCs w:val="24"/>
          <w14:textFill>
            <w14:solidFill>
              <w14:schemeClr w14:val="tx1"/>
            </w14:solidFill>
          </w14:textFill>
        </w:rPr>
        <w:t>扩建工程水岛</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EPC</w:t>
      </w:r>
      <w:r>
        <w:rPr>
          <w:rFonts w:hint="eastAsia" w:ascii="宋体" w:hAnsi="宋体" w:eastAsia="宋体" w:cs="宋体"/>
          <w:caps w:val="0"/>
          <w:color w:val="000000" w:themeColor="text1"/>
          <w:spacing w:val="0"/>
          <w:sz w:val="24"/>
          <w:szCs w:val="24"/>
          <w14:textFill>
            <w14:solidFill>
              <w14:schemeClr w14:val="tx1"/>
            </w14:solidFill>
          </w14:textFill>
        </w:rPr>
        <w:t>项目交由公司关联方国能朗新明环保科技有限公司（以下简称国能朗新明）实施，项目中标金额为</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18,197</w:t>
      </w:r>
      <w:r>
        <w:rPr>
          <w:rFonts w:hint="eastAsia" w:ascii="宋体" w:hAnsi="宋体" w:eastAsia="宋体" w:cs="宋体"/>
          <w:caps w:val="0"/>
          <w:color w:val="000000" w:themeColor="text1"/>
          <w:spacing w:val="0"/>
          <w:sz w:val="24"/>
          <w:szCs w:val="24"/>
          <w14:textFill>
            <w14:solidFill>
              <w14:schemeClr w14:val="tx1"/>
            </w14:solidFill>
          </w14:textFill>
        </w:rPr>
        <w:t>万元</w:t>
      </w:r>
      <w:r>
        <w:rPr>
          <w:rFonts w:hint="eastAsia" w:ascii="宋体" w:hAnsi="宋体" w:eastAsia="宋体" w:cs="宋体"/>
          <w:caps w:val="0"/>
          <w:color w:val="000000" w:themeColor="text1"/>
          <w:spacing w:val="0"/>
          <w:sz w:val="24"/>
          <w:szCs w:val="24"/>
          <w:lang w:eastAsia="zh-CN"/>
          <w14:textFill>
            <w14:solidFill>
              <w14:schemeClr w14:val="tx1"/>
            </w14:solidFill>
          </w14:textFill>
        </w:rPr>
        <w:t>。</w:t>
      </w:r>
      <w:r>
        <w:rPr>
          <w:rFonts w:hint="eastAsia" w:ascii="宋体" w:hAnsi="宋体" w:eastAsia="宋体" w:cs="宋体"/>
          <w:caps w:val="0"/>
          <w:color w:val="000000" w:themeColor="text1"/>
          <w:spacing w:val="0"/>
          <w:sz w:val="24"/>
          <w:szCs w:val="24"/>
          <w:lang w:val="en-US" w:eastAsia="zh-CN"/>
          <w14:textFill>
            <w14:solidFill>
              <w14:schemeClr w14:val="tx1"/>
            </w14:solidFill>
          </w14:textFill>
        </w:rPr>
        <w:t>报告期内，</w:t>
      </w:r>
      <w:r>
        <w:rPr>
          <w:rFonts w:hint="eastAsia" w:ascii="宋体" w:hAnsi="宋体" w:eastAsia="宋体" w:cs="宋体"/>
          <w:caps w:val="0"/>
          <w:color w:val="000000" w:themeColor="text1"/>
          <w:spacing w:val="0"/>
          <w:sz w:val="24"/>
          <w:szCs w:val="24"/>
          <w14:textFill>
            <w14:solidFill>
              <w14:schemeClr w14:val="tx1"/>
            </w14:solidFill>
          </w14:textFill>
        </w:rPr>
        <w:t>汉川公司与国能朗新明签署了《长源电力汉川公司四期</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2×1000MW</w:t>
      </w:r>
      <w:r>
        <w:rPr>
          <w:rFonts w:hint="eastAsia" w:ascii="宋体" w:hAnsi="宋体" w:eastAsia="宋体" w:cs="宋体"/>
          <w:caps w:val="0"/>
          <w:color w:val="000000" w:themeColor="text1"/>
          <w:spacing w:val="0"/>
          <w:sz w:val="24"/>
          <w:szCs w:val="24"/>
          <w14:textFill>
            <w14:solidFill>
              <w14:schemeClr w14:val="tx1"/>
            </w14:solidFill>
          </w14:textFill>
        </w:rPr>
        <w:t>扩建工程水岛</w:t>
      </w:r>
      <w:r>
        <w:rPr>
          <w:rFonts w:hint="default" w:ascii="Times New Roman" w:hAnsi="Times New Roman" w:eastAsia="宋体" w:cs="Times New Roman"/>
          <w:caps w:val="0"/>
          <w:color w:val="000000" w:themeColor="text1"/>
          <w:spacing w:val="0"/>
          <w:sz w:val="24"/>
          <w:szCs w:val="24"/>
          <w14:textFill>
            <w14:solidFill>
              <w14:schemeClr w14:val="tx1"/>
            </w14:solidFill>
          </w14:textFill>
        </w:rPr>
        <w:t>EPC</w:t>
      </w:r>
      <w:r>
        <w:rPr>
          <w:rFonts w:hint="eastAsia" w:ascii="宋体" w:hAnsi="宋体" w:eastAsia="宋体" w:cs="宋体"/>
          <w:caps w:val="0"/>
          <w:color w:val="000000" w:themeColor="text1"/>
          <w:spacing w:val="0"/>
          <w:sz w:val="24"/>
          <w:szCs w:val="24"/>
          <w14:textFill>
            <w14:solidFill>
              <w14:schemeClr w14:val="tx1"/>
            </w14:solidFill>
          </w14:textFill>
        </w:rPr>
        <w:t>合同》</w:t>
      </w:r>
      <w:r>
        <w:rPr>
          <w:rFonts w:hint="eastAsia" w:ascii="宋体" w:hAnsi="宋体" w:eastAsia="宋体" w:cs="宋体"/>
          <w:caps w:val="0"/>
          <w:color w:val="000000" w:themeColor="text1"/>
          <w:spacing w:val="0"/>
          <w:sz w:val="24"/>
          <w:szCs w:val="24"/>
          <w:lang w:eastAsia="zh-CN"/>
          <w14:textFill>
            <w14:solidFill>
              <w14:schemeClr w14:val="tx1"/>
            </w14:solidFill>
          </w14:textFill>
        </w:rPr>
        <w:t>（</w:t>
      </w:r>
      <w:r>
        <w:rPr>
          <w:rFonts w:hint="eastAsia" w:ascii="Times New Roman" w:hAnsi="Times New Roman" w:eastAsia="宋体" w:cs="Times New Roman"/>
          <w:i w:val="0"/>
          <w:caps w:val="0"/>
          <w:color w:val="000000" w:themeColor="text1"/>
          <w:spacing w:val="0"/>
          <w:kern w:val="0"/>
          <w:sz w:val="24"/>
          <w:szCs w:val="24"/>
          <w:highlight w:val="none"/>
          <w:lang w:val="en-US" w:eastAsia="zh-CN" w:bidi="ar"/>
          <w14:textFill>
            <w14:solidFill>
              <w14:schemeClr w14:val="tx1"/>
            </w14:solidFill>
          </w14:textFill>
        </w:rPr>
        <w:t>具体内容详见公司于2023年9月12日、10月10日在《中国证券报》《证券时报》和巨潮资讯网上披露的有关公告，公告编号：2023-088、091</w:t>
      </w:r>
      <w:r>
        <w:rPr>
          <w:rFonts w:hint="eastAsia" w:ascii="宋体" w:hAnsi="宋体" w:eastAsia="宋体" w:cs="宋体"/>
          <w:caps w:val="0"/>
          <w:color w:val="000000" w:themeColor="text1"/>
          <w:spacing w:val="0"/>
          <w:sz w:val="24"/>
          <w:szCs w:val="24"/>
          <w:lang w:eastAsia="zh-CN"/>
          <w14:textFill>
            <w14:solidFill>
              <w14:schemeClr w14:val="tx1"/>
            </w14:solidFill>
          </w14:textFill>
        </w:rPr>
        <w:t>）。</w:t>
      </w:r>
    </w:p>
    <w:p>
      <w:pPr>
        <w:keepNext/>
        <w:keepLines/>
        <w:spacing w:before="300" w:after="300" w:line="320" w:lineRule="exact"/>
        <w:jc w:val="left"/>
        <w:outlineLvl w:val="0"/>
        <w:rPr>
          <w:rFonts w:hint="default" w:ascii="Times New Roman" w:hAnsi="Times New Roman" w:cs="Times New Roman" w:eastAsiaTheme="minorEastAsia"/>
          <w:b/>
          <w:bCs/>
          <w:color w:val="000000" w:themeColor="text1"/>
          <w:sz w:val="24"/>
          <w:szCs w:val="24"/>
          <w14:textFill>
            <w14:solidFill>
              <w14:schemeClr w14:val="tx1"/>
            </w14:solidFill>
          </w14:textFill>
        </w:rPr>
      </w:pPr>
      <w:bookmarkStart w:id="8" w:name="_Toc988897"/>
      <w:r>
        <w:rPr>
          <w:rFonts w:hint="default" w:ascii="Times New Roman" w:hAnsi="Times New Roman" w:cs="Times New Roman" w:eastAsiaTheme="minorEastAsia"/>
          <w:b/>
          <w:bCs/>
          <w:color w:val="000000" w:themeColor="text1"/>
          <w:sz w:val="24"/>
          <w:szCs w:val="24"/>
          <w14:textFill>
            <w14:solidFill>
              <w14:schemeClr w14:val="tx1"/>
            </w14:solidFill>
          </w14:textFill>
        </w:rPr>
        <w:t>四、季度财务报表</w:t>
      </w:r>
      <w:bookmarkEnd w:id="8"/>
    </w:p>
    <w:p>
      <w:pPr>
        <w:keepNext/>
        <w:keepLines/>
        <w:spacing w:before="300" w:after="300" w:line="280" w:lineRule="exact"/>
        <w:jc w:val="left"/>
        <w:outlineLvl w:val="1"/>
        <w:rPr>
          <w:rFonts w:hint="default" w:ascii="Times New Roman" w:hAnsi="Times New Roman" w:cs="Times New Roman" w:eastAsiaTheme="minorEastAsia"/>
          <w:b/>
          <w:bCs/>
          <w:color w:val="000000" w:themeColor="text1"/>
          <w:sz w:val="24"/>
          <w:szCs w:val="24"/>
          <w14:textFill>
            <w14:solidFill>
              <w14:schemeClr w14:val="tx1"/>
            </w14:solidFill>
          </w14:textFill>
        </w:rPr>
      </w:pPr>
      <w:bookmarkStart w:id="9" w:name="_Toc988898"/>
      <w:r>
        <w:rPr>
          <w:rFonts w:hint="default" w:ascii="Times New Roman" w:hAnsi="Times New Roman" w:cs="Times New Roman" w:eastAsiaTheme="minorEastAsia"/>
          <w:b/>
          <w:bCs/>
          <w:color w:val="000000" w:themeColor="text1"/>
          <w:sz w:val="24"/>
          <w:szCs w:val="24"/>
          <w14:textFill>
            <w14:solidFill>
              <w14:schemeClr w14:val="tx1"/>
            </w14:solidFill>
          </w14:textFill>
        </w:rPr>
        <w:t>（一） 财务报表</w:t>
      </w:r>
      <w:bookmarkEnd w:id="9"/>
    </w:p>
    <w:p>
      <w:pPr>
        <w:keepNext/>
        <w:keepLines/>
        <w:spacing w:before="300" w:after="300" w:line="280" w:lineRule="exact"/>
        <w:jc w:val="left"/>
        <w:outlineLvl w:val="2"/>
        <w:rPr>
          <w:rFonts w:hint="default" w:ascii="Times New Roman" w:hAnsi="Times New Roman" w:cs="Times New Roman" w:eastAsiaTheme="minorEastAsia"/>
          <w:b/>
          <w:bCs/>
          <w:color w:val="000000" w:themeColor="text1"/>
          <w:sz w:val="24"/>
          <w:szCs w:val="24"/>
          <w14:textFill>
            <w14:solidFill>
              <w14:schemeClr w14:val="tx1"/>
            </w14:solidFill>
          </w14:textFill>
        </w:rPr>
      </w:pPr>
      <w:bookmarkStart w:id="10" w:name="_Toc988899"/>
      <w:r>
        <w:rPr>
          <w:rFonts w:hint="default" w:ascii="Times New Roman" w:hAnsi="Times New Roman" w:cs="Times New Roman" w:eastAsiaTheme="minorEastAsia"/>
          <w:b/>
          <w:bCs/>
          <w:color w:val="000000" w:themeColor="text1"/>
          <w:sz w:val="24"/>
          <w:szCs w:val="24"/>
          <w14:textFill>
            <w14:solidFill>
              <w14:schemeClr w14:val="tx1"/>
            </w14:solidFill>
          </w14:textFill>
        </w:rPr>
        <w:t>1、合并资产负债表</w:t>
      </w:r>
      <w:bookmarkEnd w:id="10"/>
    </w:p>
    <w:p>
      <w:pPr>
        <w:spacing w:before="0" w:after="0" w:line="240" w:lineRule="exact"/>
        <w:jc w:val="left"/>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编制单位：国家能源集团长源电力股份有限公司</w:t>
      </w:r>
    </w:p>
    <w:p>
      <w:pPr>
        <w:spacing w:before="0" w:after="0" w:line="240" w:lineRule="exact"/>
        <w:jc w:val="center"/>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2023年09月30日</w:t>
      </w:r>
    </w:p>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单位：元</w:t>
      </w:r>
    </w:p>
    <w:tbl>
      <w:tblPr>
        <w:tblStyle w:val="3"/>
        <w:tblW w:w="9639" w:type="dxa"/>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center"/>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center"/>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2023年9月30日</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center"/>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2023年1月1日</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流动资产：</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rPr>
                <w:rFonts w:hint="default" w:ascii="Times New Roman" w:hAnsi="Times New Roman" w:cs="Times New Roman" w:eastAsiaTheme="minorEastAsia"/>
                <w:color w:val="000000" w:themeColor="text1"/>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rPr>
                <w:rFonts w:hint="default" w:ascii="Times New Roman" w:hAnsi="Times New Roman" w:cs="Times New Roman" w:eastAsiaTheme="minorEastAsia"/>
                <w:color w:val="000000" w:themeColor="text1"/>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货币资金</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265,846,086.82</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285,141,164.14</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结算备付金</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拆出资金</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交易性金融资产</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衍生金融资产</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应收票据</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11,445,590.06</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213,247,017.17</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应收账款</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1,686,114,225.20</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1,959,551,917.71</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应收款项融资</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预付款项</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466,280,440.68</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474,434,883.33</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应收保费</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应收分保账款</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应收分保合同准备金</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其他应收款</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31,555,314.63</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46,773,650.28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360" w:firstLineChars="2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其中：应收利息</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0.00</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144,800.58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900" w:firstLineChars="5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应收股利</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买入返售金融资产</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存货</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952,433,921.51</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566,837,393.30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合同资产</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持有待售资产</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一年内到期的非流动资产</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其他流动资产</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554,086,947.16</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435,143,187.50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流动资产合计</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3,967,762,526.06</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3,981,129,213.43</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非流动资产：</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rPr>
                <w:rFonts w:hint="default" w:ascii="Times New Roman" w:hAnsi="Times New Roman" w:cs="Times New Roman" w:eastAsiaTheme="minorEastAsia"/>
                <w:color w:val="000000" w:themeColor="text1"/>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rPr>
                <w:rFonts w:hint="default" w:ascii="Times New Roman" w:hAnsi="Times New Roman" w:cs="Times New Roman" w:eastAsiaTheme="minorEastAsia"/>
                <w:color w:val="000000" w:themeColor="text1"/>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发放贷款和垫款</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债权投资</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其他债权投资</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长期应收款</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长期股权投资</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300,896,413.89</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285,653,125.08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其他权益工具投资</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45,666,892.87</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45,666,892.87</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其他非流动金融资产</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投资性房地产</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122,521,137.87</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107,216,172.56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固定资产</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20,974,297,923.27</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14,986,520,612.44</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在建工程</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5,374,005,830.97</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7,607,428,321.19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生产性生物资产</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油气资产</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使用权资产</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556,450,280.50</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386,604,747.55</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无形资产</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656,138,486.42</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631,645,537.35</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开发支出</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商誉</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838,524,950.63</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838,524,950.63</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长期待摊费用</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44,739,404.21</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47,014,635.39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递延所得税资产</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95,766,108.27</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153,235,971.26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其他非流动资产</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2,132,255,822.74</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1,763,547,587.33</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非流动资产合计</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31,141,263,251.64</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26,853,058,553.65</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资产总计</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35,109,025,777.70</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30,834,187,767.08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流动负债：</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rPr>
                <w:rFonts w:hint="default" w:ascii="Times New Roman" w:hAnsi="Times New Roman" w:cs="Times New Roman" w:eastAsiaTheme="minorEastAsia"/>
                <w:color w:val="000000" w:themeColor="text1"/>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rPr>
                <w:rFonts w:hint="default" w:ascii="Times New Roman" w:hAnsi="Times New Roman" w:cs="Times New Roman" w:eastAsiaTheme="minorEastAsia"/>
                <w:color w:val="000000" w:themeColor="text1"/>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短期借款</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5,253,615,871.42</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5,475,327,685.10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向中央银行借款</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拆入资金</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交易性金融负债</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衍生金融负债</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应付票据</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889,258,744.17</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1,092,527,428.54</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应付账款</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1,455,266,758.97</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1,478,631,313.52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预收款项</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12,814,640.40</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1,605,195.69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合同负债</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84,548,394.52</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46,534,556.59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卖出回购金融资产款</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吸收存款及同业存放</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代理买卖证券款</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代理承销证券款</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应付职工薪酬</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110,869,162.50</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87,155,001.23</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应交税费</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260,850,983.54</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209,021,515.27</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其他应付款</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604,614,387.88</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554,501,918.24</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360" w:firstLineChars="2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其中：应付利息</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900" w:firstLineChars="5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应付股利</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676,156.12</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676,156.12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应付手续费及佣金</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应付分保账款</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持有待售负债</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一年内到期的非流动负债</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1,472,454,164.27</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1,894,993,779.87</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其他流动负债</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8,306,455.03</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4,722,188.97</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流动负债合计</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10,152,599,562.70</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10,845,020,583.02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非流动负债：</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rPr>
                <w:rFonts w:hint="default" w:ascii="Times New Roman" w:hAnsi="Times New Roman" w:cs="Times New Roman" w:eastAsiaTheme="minorEastAsia"/>
                <w:color w:val="000000" w:themeColor="text1"/>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rPr>
                <w:rFonts w:hint="default" w:ascii="Times New Roman" w:hAnsi="Times New Roman" w:cs="Times New Roman" w:eastAsiaTheme="minorEastAsia"/>
                <w:color w:val="000000" w:themeColor="text1"/>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保险合同准备金</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长期借款</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13,675,676,979.80</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9,626,594,805.23</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应付债券</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360" w:firstLineChars="2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其中：优先股</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900" w:firstLineChars="5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永续债</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租赁负债</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411,897,501.06</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304,163,710.36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长期应付款</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8,803,046.54</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11,603,046.54</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长期应付职工薪酬</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预计负债</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递延收益</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178,149,698.04</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157,294,530.74</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递延所得税负债</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34,648,015.37</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36,441,974.31</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其他非流动负债</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非流动负债合计</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14,309,175,240.81</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10,136,098,067.18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负债合计</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24,461,774,803.51</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20,981,118,650.20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所有者权益：</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rPr>
                <w:rFonts w:hint="default" w:ascii="Times New Roman" w:hAnsi="Times New Roman" w:cs="Times New Roman" w:eastAsiaTheme="minorEastAsia"/>
                <w:color w:val="000000" w:themeColor="text1"/>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rPr>
                <w:rFonts w:hint="default" w:ascii="Times New Roman" w:hAnsi="Times New Roman" w:cs="Times New Roman" w:eastAsiaTheme="minorEastAsia"/>
                <w:color w:val="000000" w:themeColor="text1"/>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股本</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2,749,327,699.00</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2,749,327,699.00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其他权益工具</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360" w:firstLineChars="2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其中：优先股</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900" w:firstLineChars="5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永续债</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资本公积</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3,246,923,425.08</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3,246,387,377.34</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减：库存股</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其他综合收益</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-26,394,967.61</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-26,394,967.61</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专项储备</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106,295,272.14</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3,303,598.58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盈余公积</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233,794,613.31</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233,794,613.31</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一般风险准备</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未分配利润</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3,991,889,479.21</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3,388,237,891.07</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归属于母公司所有者权益合计</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10,301,835,521.13</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9,594,656,211.69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少数股东权益</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345,415,453.06</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258,412,905.19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所有者权益合计</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10,647,250,974.19</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9,853,069,116.88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负债和所有者权益总计</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35,109,025,777.70</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30,834,187,767.08</w:t>
            </w:r>
          </w:p>
        </w:tc>
      </w:tr>
    </w:tbl>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p>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法定代表人：王</w:t>
      </w:r>
      <w:r>
        <w:rPr>
          <w:rFonts w:hint="eastAsia" w:ascii="Times New Roman" w:hAnsi="Times New Roman" w:cs="Times New Roman" w:eastAsiaTheme="minorEastAsia"/>
          <w:color w:val="000000" w:themeColor="text1"/>
          <w:sz w:val="18"/>
          <w:szCs w:val="18"/>
          <w:lang w:val="en-US" w:eastAsia="zh-CN"/>
          <w14:textFill>
            <w14:solidFill>
              <w14:schemeClr w14:val="tx1"/>
            </w14:solidFill>
          </w14:textFill>
        </w:rPr>
        <w:t xml:space="preserve">  </w:t>
      </w:r>
      <w:r>
        <w:rPr>
          <w:rFonts w:hint="default" w:ascii="Times New Roman" w:hAnsi="Times New Roman" w:cs="Times New Roman" w:eastAsiaTheme="minorEastAsia"/>
          <w:color w:val="000000" w:themeColor="text1"/>
          <w:sz w:val="18"/>
          <w:szCs w:val="18"/>
          <w14:textFill>
            <w14:solidFill>
              <w14:schemeClr w14:val="tx1"/>
            </w14:solidFill>
          </w14:textFill>
        </w:rPr>
        <w:t>冬</w:t>
      </w:r>
      <w:r>
        <w:rPr>
          <w:rFonts w:hint="eastAsia" w:ascii="Times New Roman" w:hAnsi="Times New Roman" w:cs="Times New Roman" w:eastAsiaTheme="minorEastAsia"/>
          <w:color w:val="000000" w:themeColor="text1"/>
          <w:sz w:val="18"/>
          <w:szCs w:val="18"/>
          <w:lang w:val="en-US" w:eastAsia="zh-CN"/>
          <w14:textFill>
            <w14:solidFill>
              <w14:schemeClr w14:val="tx1"/>
            </w14:solidFill>
          </w14:textFill>
        </w:rPr>
        <w:t xml:space="preserve">          </w:t>
      </w:r>
      <w:r>
        <w:rPr>
          <w:rFonts w:hint="default" w:ascii="Times New Roman" w:hAnsi="Times New Roman" w:cs="Times New Roman" w:eastAsiaTheme="minorEastAsia"/>
          <w:color w:val="000000" w:themeColor="text1"/>
          <w:sz w:val="18"/>
          <w:szCs w:val="18"/>
          <w14:textFill>
            <w14:solidFill>
              <w14:schemeClr w14:val="tx1"/>
            </w14:solidFill>
          </w14:textFill>
        </w:rPr>
        <w:t>主管会计工作负责人：朱</w:t>
      </w:r>
      <w:r>
        <w:rPr>
          <w:rFonts w:hint="eastAsia" w:ascii="Times New Roman" w:hAnsi="Times New Roman" w:cs="Times New Roman" w:eastAsiaTheme="minorEastAsia"/>
          <w:color w:val="000000" w:themeColor="text1"/>
          <w:sz w:val="18"/>
          <w:szCs w:val="18"/>
          <w:lang w:val="en-US" w:eastAsia="zh-CN"/>
          <w14:textFill>
            <w14:solidFill>
              <w14:schemeClr w14:val="tx1"/>
            </w14:solidFill>
          </w14:textFill>
        </w:rPr>
        <w:t xml:space="preserve">  </w:t>
      </w:r>
      <w:r>
        <w:rPr>
          <w:rFonts w:hint="default" w:ascii="Times New Roman" w:hAnsi="Times New Roman" w:cs="Times New Roman" w:eastAsiaTheme="minorEastAsia"/>
          <w:color w:val="000000" w:themeColor="text1"/>
          <w:sz w:val="18"/>
          <w:szCs w:val="18"/>
          <w14:textFill>
            <w14:solidFill>
              <w14:schemeClr w14:val="tx1"/>
            </w14:solidFill>
          </w14:textFill>
        </w:rPr>
        <w:t>虹</w:t>
      </w:r>
      <w:r>
        <w:rPr>
          <w:rFonts w:hint="eastAsia" w:ascii="Times New Roman" w:hAnsi="Times New Roman" w:cs="Times New Roman" w:eastAsiaTheme="minorEastAsia"/>
          <w:color w:val="000000" w:themeColor="text1"/>
          <w:sz w:val="18"/>
          <w:szCs w:val="18"/>
          <w:lang w:val="en-US" w:eastAsia="zh-CN"/>
          <w14:textFill>
            <w14:solidFill>
              <w14:schemeClr w14:val="tx1"/>
            </w14:solidFill>
          </w14:textFill>
        </w:rPr>
        <w:t xml:space="preserve">          </w:t>
      </w:r>
      <w:r>
        <w:rPr>
          <w:rFonts w:hint="default" w:ascii="Times New Roman" w:hAnsi="Times New Roman" w:cs="Times New Roman" w:eastAsiaTheme="minorEastAsia"/>
          <w:color w:val="000000" w:themeColor="text1"/>
          <w:sz w:val="18"/>
          <w:szCs w:val="18"/>
          <w14:textFill>
            <w14:solidFill>
              <w14:schemeClr w14:val="tx1"/>
            </w14:solidFill>
          </w14:textFill>
        </w:rPr>
        <w:t>会计机构负责人：张</w:t>
      </w:r>
      <w:r>
        <w:rPr>
          <w:rFonts w:hint="eastAsia" w:ascii="Times New Roman" w:hAnsi="Times New Roman" w:cs="Times New Roman" w:eastAsiaTheme="minorEastAsia"/>
          <w:color w:val="000000" w:themeColor="text1"/>
          <w:sz w:val="18"/>
          <w:szCs w:val="18"/>
          <w:lang w:val="en-US" w:eastAsia="zh-CN"/>
          <w14:textFill>
            <w14:solidFill>
              <w14:schemeClr w14:val="tx1"/>
            </w14:solidFill>
          </w14:textFill>
        </w:rPr>
        <w:t xml:space="preserve">  </w:t>
      </w:r>
      <w:r>
        <w:rPr>
          <w:rFonts w:hint="default" w:ascii="Times New Roman" w:hAnsi="Times New Roman" w:cs="Times New Roman" w:eastAsiaTheme="minorEastAsia"/>
          <w:color w:val="000000" w:themeColor="text1"/>
          <w:sz w:val="18"/>
          <w:szCs w:val="18"/>
          <w14:textFill>
            <w14:solidFill>
              <w14:schemeClr w14:val="tx1"/>
            </w14:solidFill>
          </w14:textFill>
        </w:rPr>
        <w:t>征</w:t>
      </w:r>
    </w:p>
    <w:p>
      <w:pPr>
        <w:keepNext/>
        <w:keepLines/>
        <w:spacing w:before="300" w:after="300" w:line="280" w:lineRule="exact"/>
        <w:jc w:val="left"/>
        <w:outlineLvl w:val="2"/>
        <w:rPr>
          <w:rFonts w:hint="default" w:ascii="Times New Roman" w:hAnsi="Times New Roman" w:cs="Times New Roman" w:eastAsiaTheme="minorEastAsia"/>
          <w:b/>
          <w:bCs/>
          <w:color w:val="000000" w:themeColor="text1"/>
          <w:sz w:val="24"/>
          <w:szCs w:val="24"/>
          <w14:textFill>
            <w14:solidFill>
              <w14:schemeClr w14:val="tx1"/>
            </w14:solidFill>
          </w14:textFill>
        </w:rPr>
      </w:pPr>
      <w:bookmarkStart w:id="11" w:name="_Toc988900"/>
      <w:r>
        <w:rPr>
          <w:rFonts w:hint="default" w:ascii="Times New Roman" w:hAnsi="Times New Roman" w:cs="Times New Roman" w:eastAsiaTheme="minorEastAsia"/>
          <w:b/>
          <w:bCs/>
          <w:color w:val="000000" w:themeColor="text1"/>
          <w:sz w:val="24"/>
          <w:szCs w:val="24"/>
          <w14:textFill>
            <w14:solidFill>
              <w14:schemeClr w14:val="tx1"/>
            </w14:solidFill>
          </w14:textFill>
        </w:rPr>
        <w:t>2、合并年初到报告期末利润表</w:t>
      </w:r>
      <w:bookmarkEnd w:id="11"/>
    </w:p>
    <w:p>
      <w:pPr>
        <w:spacing w:before="40" w:after="4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单位：元</w:t>
      </w:r>
    </w:p>
    <w:tbl>
      <w:tblPr>
        <w:tblStyle w:val="3"/>
        <w:tblW w:w="9639" w:type="dxa"/>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center"/>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center"/>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center"/>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上期发生额</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一、营业总收入</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10,673,845,910.98</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10,973,391,404.45</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其中：营业收入</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10,673,845,910.98</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10,973,391,404.45</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720" w:firstLineChars="4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利息收入</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720" w:firstLineChars="4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已赚保费</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720" w:firstLineChars="4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手续费及佣金收入</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二、营业总成本</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9,807,140,823.65</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10,602,215,791.45</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其中：营业成本</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9,382,668,319.97</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10,202,951,736.35</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ind w:firstLine="720" w:firstLineChars="4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利息支出</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ind w:firstLine="720" w:firstLineChars="4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手续费及佣金支出</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ind w:firstLine="720" w:firstLineChars="4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退保金</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ind w:firstLine="720" w:firstLineChars="4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赔付支出净额</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ind w:firstLine="720" w:firstLineChars="4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提取保险责任准备金净额</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ind w:firstLine="720" w:firstLineChars="4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保单红利支出</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ind w:firstLine="720" w:firstLineChars="4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分保费用</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720" w:firstLineChars="4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税金及附加</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64,108,652.77</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61,893,151.53</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ind w:firstLine="720" w:firstLineChars="4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销售费用</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ind w:firstLine="720" w:firstLineChars="4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管理费用</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80,954,641.17</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80,538,873.50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ind w:firstLine="720" w:firstLineChars="4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研发费用</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18,871,454.47</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3,842,951.46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ind w:firstLine="720" w:firstLineChars="4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财务费用</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260,537,755.27</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252,989,078.61</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ind w:firstLine="900" w:firstLineChars="5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其中：利息费用</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257,239,893.15</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246,763,761.73</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ind w:firstLine="1440" w:firstLineChars="8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利息收入</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1,242,880.50</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1,715,368.03</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加：其他收益</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6,085,969.71</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6,771,434.56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ind w:firstLine="540" w:firstLineChars="3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投资收益（损失以“－”号填列）</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30,776,237.56</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20,072,045.13</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ind w:firstLine="900" w:firstLineChars="5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其中：对联营企业和合营企业的投资收益</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30,564,593.48</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20,059,177.13</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ind w:firstLine="1440" w:firstLineChars="8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以摊余成本计量的金融资产终止确认收益</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ind w:firstLine="540" w:firstLineChars="3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汇兑收益（损失以“-”号填列）</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ind w:firstLine="540" w:firstLineChars="3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净敞口套期收益（损失以“－”号填列）</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ind w:firstLine="540" w:firstLineChars="3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公允价值变动收益（损失以“－”号填列）</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540" w:firstLineChars="3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信用减值损失（损失以“-”号填列）</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-30,237,466.20</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457,999.40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540" w:firstLineChars="3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资产减值损失（损失以“-”号填列）</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0.00</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67,334.52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540" w:firstLineChars="3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资产处置收益（损失以“-”号填列）</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233,978.67</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634,689.57</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三、营业利润（亏损以“－”号填列）</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873,563,807.07</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399,179,116.18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加：营业外收入</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9,422,621.06</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8,745,867.80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减：营业外支出</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599,467.79</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889,259.10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四、利润总额（亏损总额以“－”号填列）</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882,386,960.34</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407,035,724.88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减：所得税费用</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209,158,656.43</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148,160,717.68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五、净利润（净亏损以“－”号填列）</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673,228,303.91</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258,875,007.20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（一）按经营持续性分类</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rPr>
                <w:rFonts w:hint="default" w:ascii="Times New Roman" w:hAnsi="Times New Roman" w:cs="Times New Roman" w:eastAsiaTheme="minorEastAsia"/>
                <w:color w:val="000000" w:themeColor="text1"/>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rPr>
                <w:rFonts w:hint="default" w:ascii="Times New Roman" w:hAnsi="Times New Roman" w:cs="Times New Roman" w:eastAsiaTheme="minorEastAsia"/>
                <w:color w:val="000000" w:themeColor="text1"/>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360" w:firstLineChars="2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1.持续经营净利润（净亏损以“－”号填列）</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673,228,303.91</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258,875,007.20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360" w:firstLineChars="2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2.终止经营净利润（净亏损以“－”号填列）</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（二）按所有权归属分类</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rPr>
                <w:rFonts w:hint="default" w:ascii="Times New Roman" w:hAnsi="Times New Roman" w:cs="Times New Roman" w:eastAsiaTheme="minorEastAsia"/>
                <w:color w:val="000000" w:themeColor="text1"/>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rPr>
                <w:rFonts w:hint="default" w:ascii="Times New Roman" w:hAnsi="Times New Roman" w:cs="Times New Roman" w:eastAsiaTheme="minorEastAsia"/>
                <w:color w:val="000000" w:themeColor="text1"/>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360" w:firstLineChars="2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1.归属于母公司股东的净利润（净亏损以“-”号填列）</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642,106,384.21</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259,848,073.32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360" w:firstLineChars="2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2.少数股东损益（净亏损以“-”号填列）</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31,121,919.70</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-973,066.12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六、其他综合收益的税后净额</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-80,218,602.52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归属母公司所有者的其他综合收益的税后净额</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-80,218,602.52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360" w:firstLineChars="2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（一）不能重分类进损益的其他综合收益</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-80,218,602.52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540" w:firstLineChars="3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1.重新计量设定受益计划变动额</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540" w:firstLineChars="3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2.权益法下不能转损益的其他综合收益</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540" w:firstLineChars="3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3.其他权益工具投资公允价值变动</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-80,218,602.52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540" w:firstLineChars="3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4.企业自身信用风险公允价值变动</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540" w:firstLineChars="3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5.其他</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360" w:firstLineChars="2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（二）将重分类进损益的其他综合收益</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540" w:firstLineChars="3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1.权益法下可转损益的其他综合收益</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540" w:firstLineChars="3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2.其他债权投资公允价值变动</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540" w:firstLineChars="3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3.金融资产重分类计入其他综合收益的金额</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540" w:firstLineChars="3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4.其他债权投资信用减值准备</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540" w:firstLineChars="3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5.现金流量套期储备</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540" w:firstLineChars="3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6.外币财务报表折算差额</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540" w:firstLineChars="3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7.其他</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归属于少数股东的其他综合收益的税后净额</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七、综合收益总额</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673,228,303.91</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178,656,404.68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（一）归属于母公司所有者的综合收益总额</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673,228,303.91</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179,629,470.80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（二）归属于少数股东的综合收益总额</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-973,066.12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八、每股收益：</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rPr>
                <w:rFonts w:hint="default" w:ascii="Times New Roman" w:hAnsi="Times New Roman" w:cs="Times New Roman" w:eastAsiaTheme="minorEastAsia"/>
                <w:color w:val="000000" w:themeColor="text1"/>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rPr>
                <w:rFonts w:hint="default" w:ascii="Times New Roman" w:hAnsi="Times New Roman" w:cs="Times New Roman" w:eastAsiaTheme="minorEastAsia"/>
                <w:color w:val="000000" w:themeColor="text1"/>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（一）基本每股收益</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0.2336</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0.0951</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（二）稀释每股收益</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0.2336</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0.0951</w:t>
            </w:r>
          </w:p>
        </w:tc>
      </w:tr>
    </w:tbl>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p>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本期发生同一控制下企业合并的，被合并方在合并前实现的净利润为：元，上期被合并方实现的净利润为：元。</w:t>
      </w:r>
    </w:p>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法定代表人：王</w:t>
      </w:r>
      <w:r>
        <w:rPr>
          <w:rFonts w:hint="eastAsia" w:ascii="Times New Roman" w:hAnsi="Times New Roman" w:cs="Times New Roman" w:eastAsiaTheme="minorEastAsia"/>
          <w:color w:val="000000" w:themeColor="text1"/>
          <w:sz w:val="18"/>
          <w:szCs w:val="18"/>
          <w:lang w:val="en-US" w:eastAsia="zh-CN"/>
          <w14:textFill>
            <w14:solidFill>
              <w14:schemeClr w14:val="tx1"/>
            </w14:solidFill>
          </w14:textFill>
        </w:rPr>
        <w:t xml:space="preserve">  </w:t>
      </w:r>
      <w:r>
        <w:rPr>
          <w:rFonts w:hint="default" w:ascii="Times New Roman" w:hAnsi="Times New Roman" w:cs="Times New Roman" w:eastAsiaTheme="minorEastAsia"/>
          <w:color w:val="000000" w:themeColor="text1"/>
          <w:sz w:val="18"/>
          <w:szCs w:val="18"/>
          <w14:textFill>
            <w14:solidFill>
              <w14:schemeClr w14:val="tx1"/>
            </w14:solidFill>
          </w14:textFill>
        </w:rPr>
        <w:t>冬</w:t>
      </w:r>
      <w:r>
        <w:rPr>
          <w:rFonts w:hint="eastAsia" w:ascii="Times New Roman" w:hAnsi="Times New Roman" w:cs="Times New Roman" w:eastAsiaTheme="minorEastAsia"/>
          <w:color w:val="000000" w:themeColor="text1"/>
          <w:sz w:val="18"/>
          <w:szCs w:val="18"/>
          <w:lang w:val="en-US" w:eastAsia="zh-CN"/>
          <w14:textFill>
            <w14:solidFill>
              <w14:schemeClr w14:val="tx1"/>
            </w14:solidFill>
          </w14:textFill>
        </w:rPr>
        <w:t xml:space="preserve">          </w:t>
      </w:r>
      <w:r>
        <w:rPr>
          <w:rFonts w:hint="default" w:ascii="Times New Roman" w:hAnsi="Times New Roman" w:cs="Times New Roman" w:eastAsiaTheme="minorEastAsia"/>
          <w:color w:val="000000" w:themeColor="text1"/>
          <w:sz w:val="18"/>
          <w:szCs w:val="18"/>
          <w14:textFill>
            <w14:solidFill>
              <w14:schemeClr w14:val="tx1"/>
            </w14:solidFill>
          </w14:textFill>
        </w:rPr>
        <w:t>主管会计工作负责人：朱</w:t>
      </w:r>
      <w:r>
        <w:rPr>
          <w:rFonts w:hint="eastAsia" w:ascii="Times New Roman" w:hAnsi="Times New Roman" w:cs="Times New Roman" w:eastAsiaTheme="minorEastAsia"/>
          <w:color w:val="000000" w:themeColor="text1"/>
          <w:sz w:val="18"/>
          <w:szCs w:val="18"/>
          <w:lang w:val="en-US" w:eastAsia="zh-CN"/>
          <w14:textFill>
            <w14:solidFill>
              <w14:schemeClr w14:val="tx1"/>
            </w14:solidFill>
          </w14:textFill>
        </w:rPr>
        <w:t xml:space="preserve">  </w:t>
      </w:r>
      <w:r>
        <w:rPr>
          <w:rFonts w:hint="default" w:ascii="Times New Roman" w:hAnsi="Times New Roman" w:cs="Times New Roman" w:eastAsiaTheme="minorEastAsia"/>
          <w:color w:val="000000" w:themeColor="text1"/>
          <w:sz w:val="18"/>
          <w:szCs w:val="18"/>
          <w14:textFill>
            <w14:solidFill>
              <w14:schemeClr w14:val="tx1"/>
            </w14:solidFill>
          </w14:textFill>
        </w:rPr>
        <w:t>虹</w:t>
      </w:r>
      <w:r>
        <w:rPr>
          <w:rFonts w:hint="eastAsia" w:ascii="Times New Roman" w:hAnsi="Times New Roman" w:cs="Times New Roman" w:eastAsiaTheme="minorEastAsia"/>
          <w:color w:val="000000" w:themeColor="text1"/>
          <w:sz w:val="18"/>
          <w:szCs w:val="18"/>
          <w:lang w:val="en-US" w:eastAsia="zh-CN"/>
          <w14:textFill>
            <w14:solidFill>
              <w14:schemeClr w14:val="tx1"/>
            </w14:solidFill>
          </w14:textFill>
        </w:rPr>
        <w:t xml:space="preserve">          </w:t>
      </w:r>
      <w:r>
        <w:rPr>
          <w:rFonts w:hint="default" w:ascii="Times New Roman" w:hAnsi="Times New Roman" w:cs="Times New Roman" w:eastAsiaTheme="minorEastAsia"/>
          <w:color w:val="000000" w:themeColor="text1"/>
          <w:sz w:val="18"/>
          <w:szCs w:val="18"/>
          <w14:textFill>
            <w14:solidFill>
              <w14:schemeClr w14:val="tx1"/>
            </w14:solidFill>
          </w14:textFill>
        </w:rPr>
        <w:t>会计机构负责人：张</w:t>
      </w:r>
      <w:r>
        <w:rPr>
          <w:rFonts w:hint="eastAsia" w:ascii="Times New Roman" w:hAnsi="Times New Roman" w:cs="Times New Roman" w:eastAsiaTheme="minorEastAsia"/>
          <w:color w:val="000000" w:themeColor="text1"/>
          <w:sz w:val="18"/>
          <w:szCs w:val="18"/>
          <w:lang w:val="en-US" w:eastAsia="zh-CN"/>
          <w14:textFill>
            <w14:solidFill>
              <w14:schemeClr w14:val="tx1"/>
            </w14:solidFill>
          </w14:textFill>
        </w:rPr>
        <w:t xml:space="preserve">  </w:t>
      </w:r>
      <w:r>
        <w:rPr>
          <w:rFonts w:hint="default" w:ascii="Times New Roman" w:hAnsi="Times New Roman" w:cs="Times New Roman" w:eastAsiaTheme="minorEastAsia"/>
          <w:color w:val="000000" w:themeColor="text1"/>
          <w:sz w:val="18"/>
          <w:szCs w:val="18"/>
          <w14:textFill>
            <w14:solidFill>
              <w14:schemeClr w14:val="tx1"/>
            </w14:solidFill>
          </w14:textFill>
        </w:rPr>
        <w:t>征</w:t>
      </w:r>
    </w:p>
    <w:p>
      <w:pPr>
        <w:keepNext/>
        <w:keepLines/>
        <w:spacing w:before="300" w:after="300" w:line="280" w:lineRule="exact"/>
        <w:jc w:val="left"/>
        <w:outlineLvl w:val="2"/>
        <w:rPr>
          <w:rFonts w:hint="default" w:ascii="Times New Roman" w:hAnsi="Times New Roman" w:cs="Times New Roman" w:eastAsiaTheme="minorEastAsia"/>
          <w:b/>
          <w:bCs/>
          <w:color w:val="000000" w:themeColor="text1"/>
          <w:sz w:val="24"/>
          <w:szCs w:val="24"/>
          <w14:textFill>
            <w14:solidFill>
              <w14:schemeClr w14:val="tx1"/>
            </w14:solidFill>
          </w14:textFill>
        </w:rPr>
      </w:pPr>
      <w:bookmarkStart w:id="12" w:name="_Toc988901"/>
      <w:r>
        <w:rPr>
          <w:rFonts w:hint="default" w:ascii="Times New Roman" w:hAnsi="Times New Roman" w:cs="Times New Roman" w:eastAsiaTheme="minorEastAsia"/>
          <w:b/>
          <w:bCs/>
          <w:color w:val="000000" w:themeColor="text1"/>
          <w:sz w:val="24"/>
          <w:szCs w:val="24"/>
          <w14:textFill>
            <w14:solidFill>
              <w14:schemeClr w14:val="tx1"/>
            </w14:solidFill>
          </w14:textFill>
        </w:rPr>
        <w:t>3、合并年初到报告期末现金流量表</w:t>
      </w:r>
      <w:bookmarkEnd w:id="12"/>
    </w:p>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单位：元</w:t>
      </w:r>
    </w:p>
    <w:tbl>
      <w:tblPr>
        <w:tblStyle w:val="3"/>
        <w:tblW w:w="9639" w:type="dxa"/>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center"/>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center"/>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center"/>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上期发生额</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一、经营活动产生的现金流量：</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rPr>
                <w:rFonts w:hint="default" w:ascii="Times New Roman" w:hAnsi="Times New Roman" w:cs="Times New Roman" w:eastAsiaTheme="minorEastAsia"/>
                <w:color w:val="000000" w:themeColor="text1"/>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rPr>
                <w:rFonts w:hint="default" w:ascii="Times New Roman" w:hAnsi="Times New Roman" w:cs="Times New Roman" w:eastAsiaTheme="minorEastAsia"/>
                <w:color w:val="000000" w:themeColor="text1"/>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销售商品、提供劳务收到的现金</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12,672,015,848.95</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12,610,024,422.97</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客户存款和同业存放款项净增加额</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向中央银行借款净增加额</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向其他金融机构拆入资金净增加额</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收到原保险合同保费取得的现金</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收到再保业务现金净额</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保户储金及投资款净增加额</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收取利息、手续费及佣金的现金</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拆入资金净增加额</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回购业务资金净增加额</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代理买卖证券收到的现金净额</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收到的税费返还</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206,306,857.21</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165,926,651.51</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收到其他与经营活动有关的现金</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157,913,359.22</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549,970,969.54</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经营活动现金流入小计</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13,036,236,065.38</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13,325,922,044.02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购买商品、接受劳务支付的现金</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9,728,624,155.91</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9,891,147,783.49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客户贷款及垫款净增加额</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存放中央银行和同业款项净增加额</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支付原保险合同赔付款项的现金</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拆出资金净增加额</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支付利息、手续费及佣金的现金</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支付保单红利的现金</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支付给职工及为职工支付的现金</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972,447,454.75</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911,707,341.99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支付的各项税费</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573,350,791.41</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510,523,744.31</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支付其他与经营活动有关的现金</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213,058,935.17</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1,076,733,340.33</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经营活动现金流出小计</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11,487,481,337.24</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12,390,112,210.12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经营活动产生的现金流量净额</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1,548,754,728.14</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935,809,833.90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二、投资活动产生的现金流量：</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rPr>
                <w:rFonts w:hint="default" w:ascii="Times New Roman" w:hAnsi="Times New Roman" w:cs="Times New Roman" w:eastAsiaTheme="minorEastAsia"/>
                <w:color w:val="000000" w:themeColor="text1"/>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rPr>
                <w:rFonts w:hint="default" w:ascii="Times New Roman" w:hAnsi="Times New Roman" w:cs="Times New Roman" w:eastAsiaTheme="minorEastAsia"/>
                <w:color w:val="000000" w:themeColor="text1"/>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收回投资收到的现金</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取得投资收益收到的现金</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16,068,996.49</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119,037,385.37</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处置固定资产、无形资产和其他长期资产收回的现金净额</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4,440,994.85</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1,157,773.00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处置子公司及其他营业单位收到的现金净额</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收到其他与投资活动有关的现金</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637,095.00</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659,646,164.14</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投资活动现金流入小计</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21,147,086.34</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779,841,322.51</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购建固定资产、无形资产和其他长期资产支付的现金</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4,568,735,105.69</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4,617,287,192.37</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投资支付的现金</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质押贷款净增加额</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取得子公司及其他营业单位支付的现金净额</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支付其他与投资活动有关的现金</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44,698,791.19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投资活动现金流出小计</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4,568,735,105.69</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4,661,985,983.56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投资活动产生的现金流量净额</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-4,547,588,019.35</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-3,882,144,661.05</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三、筹资活动产生的现金流量：</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rPr>
                <w:rFonts w:hint="default" w:ascii="Times New Roman" w:hAnsi="Times New Roman" w:cs="Times New Roman" w:eastAsiaTheme="minorEastAsia"/>
                <w:color w:val="000000" w:themeColor="text1"/>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rPr>
                <w:rFonts w:hint="default" w:ascii="Times New Roman" w:hAnsi="Times New Roman" w:cs="Times New Roman" w:eastAsiaTheme="minorEastAsia"/>
                <w:color w:val="000000" w:themeColor="text1"/>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吸收投资收到的现金</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54,390,961.00</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90,842,050.00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360" w:firstLineChars="2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其中：子公司吸收少数股东投资收到的现金</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54,390,961.00</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90,842,050.00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取得借款收到的现金</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14,746,033,290.12</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13,293,513,754.25</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收到其他与筹资活动有关的现金</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1,037,591.35</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筹资活动现金流入小计</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14,801,461,842.47</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13,384,355,804.25</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偿还债务支付的现金</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11,328,066,158.12</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10,981,523,826.25</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分配股利、利润或偿付利息支付的现金</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443,557,185.10</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278,593,353.34</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360" w:firstLineChars="2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其中：子公司支付给少数股东的股利、利润</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支付其他与筹资活动有关的现金</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50,305,999.94</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2,912,476.57</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筹资活动现金流出小计</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11,821,929,343.16</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11,263,029,656.16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筹资活动产生的现金流量净额</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2,979,532,499.31</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2,121,326,148.09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四、汇率变动对现金及现金等价物的影响</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0.00</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0.00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五、现金及现金等价物净增加额</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-19,300,791.90</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-825,008,679.06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ind w:firstLine="180" w:firstLineChars="100"/>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加：期初现金及现金等价物余额</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285,127,449.84</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1,081,684,974.35</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240" w:lineRule="exact"/>
              <w:jc w:val="lef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六、期末现金及现金等价物余额</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265,826,657.94</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cs="Times New Roman" w:eastAsiaTheme="minorEastAsia"/>
                <w:color w:val="000000" w:themeColor="text1"/>
                <w:sz w:val="18"/>
                <w:szCs w:val="18"/>
                <w14:textFill>
                  <w14:solidFill>
                    <w14:schemeClr w14:val="tx1"/>
                  </w14:solidFill>
                </w14:textFill>
              </w:rPr>
            </w:pPr>
            <w:r>
              <w:rPr>
                <w:rFonts w:hint="default" w:ascii="Times New Roman" w:hAnsi="Times New Roman" w:cs="Times New Roman" w:eastAsiaTheme="minorEastAsia"/>
                <w:color w:val="000000" w:themeColor="text1"/>
                <w:sz w:val="18"/>
                <w:szCs w:val="18"/>
                <w14:textFill>
                  <w14:solidFill>
                    <w14:schemeClr w14:val="tx1"/>
                  </w14:solidFill>
                </w14:textFill>
              </w:rPr>
              <w:t>256,676,295.29</w:t>
            </w:r>
          </w:p>
        </w:tc>
      </w:tr>
    </w:tbl>
    <w:p>
      <w:pPr>
        <w:keepNext/>
        <w:keepLines/>
        <w:spacing w:before="300" w:after="300" w:line="280" w:lineRule="exact"/>
        <w:jc w:val="left"/>
        <w:outlineLvl w:val="1"/>
        <w:rPr>
          <w:rFonts w:hint="default" w:ascii="Times New Roman" w:hAnsi="Times New Roman" w:cs="Times New Roman" w:eastAsiaTheme="minorEastAsia"/>
          <w:b/>
          <w:bCs/>
          <w:color w:val="000000" w:themeColor="text1"/>
          <w:sz w:val="24"/>
          <w:szCs w:val="24"/>
          <w14:textFill>
            <w14:solidFill>
              <w14:schemeClr w14:val="tx1"/>
            </w14:solidFill>
          </w14:textFill>
        </w:rPr>
      </w:pPr>
      <w:bookmarkStart w:id="13" w:name="_Toc988902"/>
      <w:r>
        <w:rPr>
          <w:rFonts w:hint="default" w:ascii="Times New Roman" w:hAnsi="Times New Roman" w:cs="Times New Roman" w:eastAsiaTheme="minorEastAsia"/>
          <w:b/>
          <w:bCs/>
          <w:color w:val="000000" w:themeColor="text1"/>
          <w:sz w:val="24"/>
          <w:szCs w:val="24"/>
          <w14:textFill>
            <w14:solidFill>
              <w14:schemeClr w14:val="tx1"/>
            </w14:solidFill>
          </w14:textFill>
        </w:rPr>
        <w:t>（二） 2023年起首次执行新会计准则调整首次执行当年年初财务报表相关项目情况</w:t>
      </w:r>
      <w:bookmarkEnd w:id="13"/>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□适用 </w:t>
      </w:r>
      <w:r>
        <w:rPr>
          <w:rFonts w:hint="eastAsia" w:asciiTheme="minorEastAsia" w:hAnsiTheme="minorEastAsia" w:eastAsiaTheme="minorEastAsia" w:cstheme="minorEastAsia"/>
          <w:color w:val="000000" w:themeColor="text1"/>
          <w:sz w:val="24"/>
          <w:szCs w:val="24"/>
          <w14:textFill>
            <w14:solidFill>
              <w14:schemeClr w14:val="tx1"/>
            </w14:solidFill>
          </w14:textFill>
        </w:rPr>
        <w:sym w:font="Wingdings 2" w:char="F052"/>
      </w:r>
      <w:r>
        <w:rPr>
          <w:rFonts w:hint="eastAsia" w:asciiTheme="minorEastAsia" w:hAnsiTheme="minorEastAsia" w:eastAsiaTheme="minorEastAsia" w:cstheme="minorEastAsia"/>
          <w:color w:val="000000" w:themeColor="text1"/>
          <w:sz w:val="24"/>
          <w:szCs w:val="24"/>
          <w14:textFill>
            <w14:solidFill>
              <w14:schemeClr w14:val="tx1"/>
            </w14:solidFill>
          </w14:textFill>
        </w:rPr>
        <w:t>不适用</w:t>
      </w:r>
    </w:p>
    <w:p>
      <w:pPr>
        <w:keepNext/>
        <w:keepLines/>
        <w:spacing w:before="300" w:after="300" w:line="280" w:lineRule="exact"/>
        <w:jc w:val="left"/>
        <w:outlineLvl w:val="1"/>
        <w:rPr>
          <w:rFonts w:hint="default" w:ascii="Times New Roman" w:hAnsi="Times New Roman" w:cs="Times New Roman" w:eastAsiaTheme="minorEastAsia"/>
          <w:b/>
          <w:bCs/>
          <w:color w:val="000000" w:themeColor="text1"/>
          <w:sz w:val="24"/>
          <w:szCs w:val="24"/>
          <w14:textFill>
            <w14:solidFill>
              <w14:schemeClr w14:val="tx1"/>
            </w14:solidFill>
          </w14:textFill>
        </w:rPr>
      </w:pPr>
      <w:bookmarkStart w:id="14" w:name="_Toc988903"/>
      <w:r>
        <w:rPr>
          <w:rFonts w:hint="default" w:ascii="Times New Roman" w:hAnsi="Times New Roman" w:cs="Times New Roman" w:eastAsiaTheme="minorEastAsia"/>
          <w:b/>
          <w:bCs/>
          <w:color w:val="000000" w:themeColor="text1"/>
          <w:sz w:val="24"/>
          <w:szCs w:val="24"/>
          <w14:textFill>
            <w14:solidFill>
              <w14:schemeClr w14:val="tx1"/>
            </w14:solidFill>
          </w14:textFill>
        </w:rPr>
        <w:t>（三） 审计报告</w:t>
      </w:r>
      <w:bookmarkEnd w:id="14"/>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default" w:asciiTheme="minorEastAsia" w:hAnsiTheme="minorEastAsia" w:eastAsiaTheme="minorEastAsia" w:cstheme="minorEastAsia"/>
          <w:color w:val="000000" w:themeColor="text1"/>
          <w:sz w:val="24"/>
          <w:szCs w:val="24"/>
          <w14:textFill>
            <w14:solidFill>
              <w14:schemeClr w14:val="tx1"/>
            </w14:solidFill>
          </w14:textFill>
        </w:rPr>
      </w:pPr>
      <w:r>
        <w:rPr>
          <w:rFonts w:hint="default" w:asciiTheme="minorEastAsia" w:hAnsiTheme="minorEastAsia" w:eastAsiaTheme="minorEastAsia" w:cstheme="minorEastAsia"/>
          <w:color w:val="000000" w:themeColor="text1"/>
          <w:sz w:val="24"/>
          <w:szCs w:val="24"/>
          <w14:textFill>
            <w14:solidFill>
              <w14:schemeClr w14:val="tx1"/>
            </w14:solidFill>
          </w14:textFill>
        </w:rPr>
        <w:t>第三季度报告是否经过审计</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default" w:asciiTheme="minorEastAsia" w:hAnsiTheme="minorEastAsia" w:eastAsiaTheme="minorEastAsia" w:cstheme="minorEastAsia"/>
          <w:color w:val="000000" w:themeColor="text1"/>
          <w:sz w:val="24"/>
          <w:szCs w:val="24"/>
          <w14:textFill>
            <w14:solidFill>
              <w14:schemeClr w14:val="tx1"/>
            </w14:solidFill>
          </w14:textFill>
        </w:rPr>
      </w:pPr>
      <w:r>
        <w:rPr>
          <w:rFonts w:hint="default" w:asciiTheme="minorEastAsia" w:hAnsiTheme="minorEastAsia" w:eastAsiaTheme="minorEastAsia" w:cstheme="minorEastAsia"/>
          <w:color w:val="000000" w:themeColor="text1"/>
          <w:sz w:val="24"/>
          <w:szCs w:val="24"/>
          <w14:textFill>
            <w14:solidFill>
              <w14:schemeClr w14:val="tx1"/>
            </w14:solidFill>
          </w14:textFill>
        </w:rPr>
        <w:t xml:space="preserve">□是 </w:t>
      </w:r>
      <w:r>
        <w:rPr>
          <w:rFonts w:hint="default" w:asciiTheme="minorEastAsia" w:hAnsiTheme="minorEastAsia" w:eastAsiaTheme="minorEastAsia" w:cstheme="minorEastAsia"/>
          <w:color w:val="000000" w:themeColor="text1"/>
          <w:sz w:val="24"/>
          <w:szCs w:val="24"/>
          <w14:textFill>
            <w14:solidFill>
              <w14:schemeClr w14:val="tx1"/>
            </w14:solidFill>
          </w14:textFill>
        </w:rPr>
        <w:sym w:font="Wingdings 2" w:char="F052"/>
      </w:r>
      <w:r>
        <w:rPr>
          <w:rFonts w:hint="default" w:asciiTheme="minorEastAsia" w:hAnsiTheme="minorEastAsia" w:eastAsiaTheme="minorEastAsia" w:cstheme="minorEastAsia"/>
          <w:color w:val="000000" w:themeColor="text1"/>
          <w:sz w:val="24"/>
          <w:szCs w:val="24"/>
          <w14:textFill>
            <w14:solidFill>
              <w14:schemeClr w14:val="tx1"/>
            </w14:solidFill>
          </w14:textFill>
        </w:rPr>
        <w:t>否</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default" w:asciiTheme="minorEastAsia" w:hAnsiTheme="minorEastAsia" w:eastAsiaTheme="minorEastAsia" w:cstheme="minorEastAsia"/>
          <w:color w:val="000000" w:themeColor="text1"/>
          <w:sz w:val="24"/>
          <w:szCs w:val="24"/>
          <w14:textFill>
            <w14:solidFill>
              <w14:schemeClr w14:val="tx1"/>
            </w14:solidFill>
          </w14:textFill>
        </w:rPr>
      </w:pPr>
      <w:r>
        <w:rPr>
          <w:rFonts w:hint="default" w:asciiTheme="minorEastAsia" w:hAnsiTheme="minorEastAsia" w:eastAsiaTheme="minorEastAsia" w:cstheme="minorEastAsia"/>
          <w:color w:val="000000" w:themeColor="text1"/>
          <w:sz w:val="24"/>
          <w:szCs w:val="24"/>
          <w14:textFill>
            <w14:solidFill>
              <w14:schemeClr w14:val="tx1"/>
            </w14:solidFill>
          </w14:textFill>
        </w:rPr>
        <w:t>公司第三季度报告未经审计。</w:t>
      </w:r>
    </w:p>
    <w:p>
      <w:pPr>
        <w:keepNext w:val="0"/>
        <w:keepLines w:val="0"/>
        <w:pageBreakBefore w:val="0"/>
        <w:widowControl w:val="0"/>
        <w:kinsoku/>
        <w:wordWrap/>
        <w:overflowPunct/>
        <w:topLinePunct w:val="0"/>
        <w:autoSpaceDE/>
        <w:autoSpaceDN/>
        <w:bidi w:val="0"/>
        <w:adjustRightInd/>
        <w:snapToGrid/>
        <w:spacing w:line="400" w:lineRule="exact"/>
        <w:jc w:val="right"/>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400" w:lineRule="exact"/>
        <w:jc w:val="right"/>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400" w:lineRule="exact"/>
        <w:jc w:val="right"/>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14:textFill>
            <w14:solidFill>
              <w14:schemeClr w14:val="tx1"/>
            </w14:solidFill>
          </w14:textFill>
        </w:rPr>
        <w:t>国家能源集团长源电力股份有限公司董事会</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 xml:space="preserve">                                                                                 </w:t>
      </w:r>
      <w:r>
        <w:rPr>
          <w:rFonts w:hint="default" w:ascii="Times New Roman" w:hAnsi="Times New Roman" w:cs="Times New Roman" w:eastAsiaTheme="minorEastAsia"/>
          <w:color w:val="000000" w:themeColor="text1"/>
          <w:sz w:val="24"/>
          <w:szCs w:val="24"/>
          <w14:textFill>
            <w14:solidFill>
              <w14:schemeClr w14:val="tx1"/>
            </w14:solidFill>
          </w14:textFill>
        </w:rPr>
        <w:t>2023年10月28日</w:t>
      </w:r>
    </w:p>
    <w:sectPr>
      <w:headerReference r:id="rId3" w:type="default"/>
      <w:footerReference r:id="rId4" w:type="default"/>
      <w:pgSz w:w="11905" w:h="16840"/>
      <w:pgMar w:top="1440" w:right="1134" w:bottom="1440" w:left="1134" w:header="850"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00000000000000000"/>
    <w:charset w:val="86"/>
    <w:family w:val="auto"/>
    <w:pitch w:val="default"/>
    <w:sig w:usb0="A00002BF" w:usb1="184F6CFA" w:usb2="00000012" w:usb3="00000000" w:csb0="00040001"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pPr>
    <w:r>
      <w:rPr>
        <w:rFonts w:ascii="宋体" w:eastAsia="宋体"/>
        <w:sz w:val="18"/>
        <w:szCs w:val="18"/>
      </w:rPr>
      <w:fldChar w:fldCharType="begin"/>
    </w:r>
    <w:r>
      <w:rPr>
        <w:rFonts w:ascii="宋体" w:eastAsia="宋体"/>
        <w:sz w:val="18"/>
        <w:szCs w:val="18"/>
      </w:rPr>
      <w:instrText xml:space="preserve">PAGE   \* MERGEFORMAT</w:instrText>
    </w:r>
    <w:r>
      <w:rPr>
        <w:rFonts w:ascii="宋体" w:eastAsia="宋体"/>
        <w:sz w:val="18"/>
        <w:szCs w:val="18"/>
      </w:rPr>
      <w:fldChar w:fldCharType="separate"/>
    </w:r>
    <w:r>
      <w:rPr>
        <w:rFonts w:ascii="宋体" w:eastAsia="宋体"/>
        <w:sz w:val="18"/>
        <w:szCs w:val="18"/>
      </w:rPr>
      <w:t>1</w:t>
    </w:r>
    <w:r>
      <w:rPr>
        <w:rFonts w:ascii="宋体" w:eastAsia="宋体"/>
        <w:sz w:val="18"/>
        <w:szCs w:val="18"/>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6" w:space="1"/>
      </w:pBdr>
      <w:jc w:val="right"/>
    </w:pPr>
    <w:r>
      <w:rPr>
        <w:rFonts w:ascii="宋体" w:eastAsia="宋体"/>
        <w:sz w:val="18"/>
        <w:szCs w:val="18"/>
      </w:rPr>
      <w:t>国家能源集团长源电力股份有限公司2023年第三季度报告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17A422"/>
    <w:multiLevelType w:val="singleLevel"/>
    <w:tmpl w:val="B517A422"/>
    <w:lvl w:ilvl="0" w:tentative="0">
      <w:start w:val="1"/>
      <w:numFmt w:val="decimal"/>
      <w:suff w:val="space"/>
      <w:lvlText w:val="%1."/>
      <w:lvlJc w:val="left"/>
    </w:lvl>
  </w:abstractNum>
  <w:abstractNum w:abstractNumId="1">
    <w:nsid w:val="4A793DD6"/>
    <w:multiLevelType w:val="singleLevel"/>
    <w:tmpl w:val="4A793DD6"/>
    <w:lvl w:ilvl="0" w:tentative="0">
      <w:start w:val="1"/>
      <w:numFmt w:val="decimal"/>
      <w:suff w:val="space"/>
      <w:lvlText w:val="%1."/>
      <w:lvlJc w:val="left"/>
    </w:lvl>
  </w:abstractNum>
  <w:abstractNum w:abstractNumId="2">
    <w:nsid w:val="67C44CD8"/>
    <w:multiLevelType w:val="singleLevel"/>
    <w:tmpl w:val="67C44CD8"/>
    <w:lvl w:ilvl="0" w:tentative="0">
      <w:start w:val="1"/>
      <w:numFmt w:val="decimal"/>
      <w:suff w:val="space"/>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documentProtection w:enforcement="0"/>
  <w:compat>
    <w:doNotExpandShiftReturn/>
    <w:useFELayout/>
    <w:compatSetting w:name="compatibilityMode" w:uri="http://schemas.microsoft.com/office/word" w:val="14"/>
  </w:compat>
  <w:rsids>
    <w:rsidRoot w:val="00000000"/>
    <w:rsid w:val="017522BD"/>
    <w:rsid w:val="039E3A62"/>
    <w:rsid w:val="0B7F45E5"/>
    <w:rsid w:val="0E6E3712"/>
    <w:rsid w:val="181E1C79"/>
    <w:rsid w:val="1A0C5DFC"/>
    <w:rsid w:val="1C8D75FB"/>
    <w:rsid w:val="1CFC2D2F"/>
    <w:rsid w:val="236B4F0B"/>
    <w:rsid w:val="23F5746A"/>
    <w:rsid w:val="29735478"/>
    <w:rsid w:val="2A8C733F"/>
    <w:rsid w:val="2D960BEF"/>
    <w:rsid w:val="2E445321"/>
    <w:rsid w:val="3E624D37"/>
    <w:rsid w:val="3FBD1AB4"/>
    <w:rsid w:val="41EE23D9"/>
    <w:rsid w:val="443864DA"/>
    <w:rsid w:val="4EC03B44"/>
    <w:rsid w:val="565416E3"/>
    <w:rsid w:val="5DF67941"/>
    <w:rsid w:val="5E8F27A2"/>
    <w:rsid w:val="627A530E"/>
    <w:rsid w:val="65962064"/>
    <w:rsid w:val="665F14C3"/>
    <w:rsid w:val="67F15A26"/>
    <w:rsid w:val="68D448D8"/>
    <w:rsid w:val="69E15613"/>
    <w:rsid w:val="6E9F6035"/>
    <w:rsid w:val="74470BE8"/>
    <w:rsid w:val="763F5293"/>
    <w:rsid w:val="7E34280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sz w:val="21"/>
      <w:szCs w:val="22"/>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8</TotalTime>
  <ScaleCrop>false</ScaleCrop>
  <LinksUpToDate>false</LinksUpToDate>
  <Application>WPS Office_11.8.2.12085_F1E327BC-269C-435d-A152-05C5408002CA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2023-10-19T10:03:00Z</dcterms:created>
  <dc:creator>yjb</dc:creator>
  <cp:lastModifiedBy>叶建兵</cp:lastModifiedBy>
  <cp:lastPrinted>2023-10-26T08:51:00Z</cp:lastPrinted>
  <dcterms:modified xsi:type="dcterms:W3CDTF">2023-10-27T05:03:24Z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9D9E69C7D4BC4C40893F7DAC227DF126</vt:lpwstr>
  </property>
</Properties>
</file>